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42401">
      <w:pPr>
        <w:adjustRightInd w:val="0"/>
        <w:snapToGrid w:val="0"/>
        <w:spacing w:line="360" w:lineRule="auto"/>
        <w:jc w:val="center"/>
        <w:rPr>
          <w:b/>
          <w:sz w:val="44"/>
          <w:szCs w:val="44"/>
          <w:u w:val="single"/>
        </w:rPr>
      </w:pPr>
    </w:p>
    <w:p w14:paraId="0A493A10">
      <w:pPr>
        <w:adjustRightInd w:val="0"/>
        <w:snapToGrid w:val="0"/>
        <w:spacing w:line="360" w:lineRule="auto"/>
        <w:rPr>
          <w:b/>
          <w:sz w:val="44"/>
          <w:szCs w:val="44"/>
          <w:u w:val="single"/>
        </w:rPr>
      </w:pPr>
    </w:p>
    <w:p w14:paraId="5D470B63">
      <w:pPr>
        <w:pStyle w:val="2"/>
        <w:widowControl/>
        <w:shd w:val="clear" w:color="auto" w:fill="FFFFFF"/>
        <w:spacing w:before="0" w:beforeAutospacing="0" w:after="0" w:afterAutospacing="0" w:line="675" w:lineRule="atLeast"/>
        <w:jc w:val="center"/>
        <w:rPr>
          <w:rFonts w:hint="default"/>
          <w:bCs/>
          <w:sz w:val="44"/>
          <w:szCs w:val="44"/>
          <w:shd w:val="clear" w:color="auto" w:fill="FFFFFF"/>
        </w:rPr>
      </w:pPr>
      <w:r>
        <w:rPr>
          <w:bCs/>
          <w:sz w:val="44"/>
          <w:szCs w:val="44"/>
          <w:shd w:val="clear" w:color="auto" w:fill="FFFFFF"/>
        </w:rPr>
        <w:t>黄山市经济和信息化局</w:t>
      </w:r>
      <w:r>
        <w:rPr>
          <w:rFonts w:hint="default"/>
          <w:bCs/>
          <w:sz w:val="44"/>
          <w:szCs w:val="44"/>
          <w:shd w:val="clear" w:color="auto" w:fill="FFFFFF"/>
        </w:rPr>
        <w:t>2024年部门预算</w:t>
      </w:r>
    </w:p>
    <w:p w14:paraId="064EED42">
      <w:pPr>
        <w:rPr>
          <w:rFonts w:eastAsia="微软雅黑"/>
          <w:b/>
          <w:sz w:val="45"/>
          <w:szCs w:val="45"/>
          <w:shd w:val="clear" w:color="auto" w:fill="FFFFFF"/>
        </w:rPr>
      </w:pPr>
    </w:p>
    <w:p w14:paraId="0FF03382">
      <w:pPr>
        <w:rPr>
          <w:rFonts w:eastAsia="微软雅黑"/>
          <w:b/>
          <w:sz w:val="45"/>
          <w:szCs w:val="45"/>
          <w:shd w:val="clear" w:color="auto" w:fill="FFFFFF"/>
        </w:rPr>
      </w:pPr>
    </w:p>
    <w:p w14:paraId="2285BC80">
      <w:pPr>
        <w:rPr>
          <w:rFonts w:eastAsia="微软雅黑"/>
          <w:b/>
          <w:sz w:val="45"/>
          <w:szCs w:val="45"/>
          <w:shd w:val="clear" w:color="auto" w:fill="FFFFFF"/>
        </w:rPr>
      </w:pPr>
    </w:p>
    <w:p w14:paraId="20DBF424">
      <w:pPr>
        <w:rPr>
          <w:rFonts w:eastAsia="微软雅黑"/>
          <w:b/>
          <w:sz w:val="45"/>
          <w:szCs w:val="45"/>
          <w:shd w:val="clear" w:color="auto" w:fill="FFFFFF"/>
        </w:rPr>
      </w:pPr>
    </w:p>
    <w:p w14:paraId="3E0A7A7A">
      <w:pPr>
        <w:rPr>
          <w:rFonts w:eastAsia="微软雅黑"/>
          <w:b/>
          <w:sz w:val="45"/>
          <w:szCs w:val="45"/>
          <w:shd w:val="clear" w:color="auto" w:fill="FFFFFF"/>
        </w:rPr>
      </w:pPr>
    </w:p>
    <w:p w14:paraId="49D9C1F1">
      <w:pPr>
        <w:rPr>
          <w:rFonts w:eastAsia="微软雅黑"/>
          <w:b/>
          <w:sz w:val="45"/>
          <w:szCs w:val="45"/>
          <w:shd w:val="clear" w:color="auto" w:fill="FFFFFF"/>
        </w:rPr>
      </w:pPr>
    </w:p>
    <w:p w14:paraId="5722F5DA">
      <w:pPr>
        <w:rPr>
          <w:rFonts w:eastAsia="微软雅黑"/>
          <w:b/>
          <w:sz w:val="45"/>
          <w:szCs w:val="45"/>
          <w:shd w:val="clear" w:color="auto" w:fill="FFFFFF"/>
        </w:rPr>
      </w:pPr>
    </w:p>
    <w:p w14:paraId="15F3A218">
      <w:pPr>
        <w:rPr>
          <w:rFonts w:eastAsia="微软雅黑"/>
          <w:b/>
          <w:sz w:val="45"/>
          <w:szCs w:val="45"/>
          <w:shd w:val="clear" w:color="auto" w:fill="FFFFFF"/>
        </w:rPr>
      </w:pPr>
    </w:p>
    <w:p w14:paraId="09179B0B">
      <w:pPr>
        <w:rPr>
          <w:rFonts w:eastAsia="微软雅黑"/>
          <w:b/>
          <w:sz w:val="45"/>
          <w:szCs w:val="45"/>
          <w:shd w:val="clear" w:color="auto" w:fill="FFFFFF"/>
        </w:rPr>
      </w:pPr>
    </w:p>
    <w:p w14:paraId="5058A887">
      <w:pPr>
        <w:rPr>
          <w:rFonts w:eastAsia="微软雅黑"/>
          <w:b/>
          <w:sz w:val="45"/>
          <w:szCs w:val="45"/>
          <w:shd w:val="clear" w:color="auto" w:fill="FFFFFF"/>
        </w:rPr>
      </w:pPr>
    </w:p>
    <w:p w14:paraId="2577BE09">
      <w:pPr>
        <w:rPr>
          <w:rFonts w:eastAsia="微软雅黑"/>
          <w:b/>
          <w:sz w:val="45"/>
          <w:szCs w:val="45"/>
          <w:shd w:val="clear" w:color="auto" w:fill="FFFFFF"/>
        </w:rPr>
      </w:pPr>
    </w:p>
    <w:p w14:paraId="097594E9">
      <w:pPr>
        <w:jc w:val="center"/>
        <w:rPr>
          <w:bCs/>
          <w:sz w:val="36"/>
          <w:szCs w:val="36"/>
          <w:shd w:val="clear" w:color="auto" w:fill="FFFFFF"/>
        </w:rPr>
      </w:pPr>
      <w:r>
        <w:rPr>
          <w:bCs/>
          <w:sz w:val="36"/>
          <w:szCs w:val="36"/>
          <w:shd w:val="clear" w:color="auto" w:fill="FFFFFF"/>
        </w:rPr>
        <w:t>2024年2月</w:t>
      </w:r>
    </w:p>
    <w:p w14:paraId="07A613F8">
      <w:pPr>
        <w:rPr>
          <w:rFonts w:eastAsia="微软雅黑"/>
          <w:b/>
          <w:sz w:val="45"/>
          <w:szCs w:val="45"/>
          <w:shd w:val="clear" w:color="auto" w:fill="FFFFFF"/>
        </w:rPr>
      </w:pPr>
    </w:p>
    <w:p w14:paraId="62F061A9">
      <w:pPr>
        <w:pStyle w:val="9"/>
        <w:spacing w:before="0" w:beforeAutospacing="0" w:after="0" w:afterAutospacing="0" w:line="435" w:lineRule="atLeast"/>
        <w:jc w:val="both"/>
        <w:rPr>
          <w:rFonts w:ascii="Times New Roman" w:hAnsi="Times New Roman" w:eastAsia="方正小标宋简体" w:cs="Times New Roman"/>
          <w:sz w:val="43"/>
          <w:szCs w:val="43"/>
          <w:shd w:val="clear" w:color="auto" w:fill="FFFFFF"/>
        </w:rPr>
      </w:pPr>
    </w:p>
    <w:p w14:paraId="36E244A5">
      <w:pPr>
        <w:pStyle w:val="9"/>
        <w:spacing w:before="0" w:beforeAutospacing="0" w:after="0" w:afterAutospacing="0" w:line="435" w:lineRule="atLeast"/>
        <w:jc w:val="both"/>
        <w:rPr>
          <w:rFonts w:ascii="Times New Roman" w:hAnsi="Times New Roman" w:eastAsia="方正小标宋简体" w:cs="Times New Roman"/>
          <w:sz w:val="43"/>
          <w:szCs w:val="43"/>
          <w:shd w:val="clear" w:color="auto" w:fill="FFFFFF"/>
        </w:rPr>
      </w:pPr>
    </w:p>
    <w:p w14:paraId="6431AD41">
      <w:pPr>
        <w:pStyle w:val="9"/>
        <w:spacing w:before="0" w:beforeAutospacing="0" w:after="0" w:afterAutospacing="0" w:line="435" w:lineRule="atLeast"/>
        <w:jc w:val="both"/>
        <w:rPr>
          <w:rFonts w:ascii="Times New Roman" w:hAnsi="Times New Roman" w:eastAsia="方正小标宋简体" w:cs="Times New Roman"/>
          <w:sz w:val="43"/>
          <w:szCs w:val="43"/>
          <w:shd w:val="clear" w:color="auto" w:fill="FFFFFF"/>
        </w:rPr>
      </w:pPr>
    </w:p>
    <w:p w14:paraId="524D4B8A">
      <w:pPr>
        <w:pStyle w:val="9"/>
        <w:adjustRightInd w:val="0"/>
        <w:snapToGrid w:val="0"/>
        <w:spacing w:before="0" w:beforeAutospacing="0" w:after="0" w:afterAutospacing="0" w:line="360" w:lineRule="auto"/>
        <w:jc w:val="both"/>
        <w:rPr>
          <w:rFonts w:ascii="Times New Roman" w:hAnsi="Times New Roman" w:eastAsia="黑体" w:cs="Times New Roman"/>
          <w:bCs/>
          <w:sz w:val="36"/>
          <w:szCs w:val="36"/>
        </w:rPr>
      </w:pPr>
    </w:p>
    <w:p w14:paraId="12E7FAF8">
      <w:pPr>
        <w:pStyle w:val="9"/>
        <w:adjustRightInd w:val="0"/>
        <w:snapToGrid w:val="0"/>
        <w:spacing w:before="0" w:beforeAutospacing="0" w:after="0" w:afterAutospacing="0" w:line="360" w:lineRule="auto"/>
        <w:jc w:val="both"/>
        <w:rPr>
          <w:rFonts w:ascii="Times New Roman" w:hAnsi="Times New Roman" w:eastAsia="黑体" w:cs="Times New Roman"/>
          <w:bCs/>
          <w:sz w:val="36"/>
          <w:szCs w:val="36"/>
        </w:rPr>
      </w:pPr>
    </w:p>
    <w:p w14:paraId="343550B9">
      <w:pPr>
        <w:pStyle w:val="9"/>
        <w:spacing w:before="0" w:beforeAutospacing="0" w:after="0" w:afterAutospacing="0" w:line="435" w:lineRule="atLeast"/>
        <w:ind w:firstLine="3870" w:firstLineChars="900"/>
        <w:jc w:val="both"/>
        <w:rPr>
          <w:rFonts w:ascii="Times New Roman" w:hAnsi="Times New Roman" w:cs="Times New Roman"/>
        </w:rPr>
      </w:pPr>
      <w:r>
        <w:rPr>
          <w:rFonts w:ascii="Times New Roman" w:hAnsi="Times New Roman" w:eastAsia="方正小标宋简体" w:cs="Times New Roman"/>
          <w:sz w:val="43"/>
          <w:szCs w:val="43"/>
          <w:shd w:val="clear" w:color="auto" w:fill="FFFFFF"/>
        </w:rPr>
        <w:t>目    录</w:t>
      </w:r>
    </w:p>
    <w:p w14:paraId="1A5BC5C8">
      <w:pPr>
        <w:pStyle w:val="9"/>
        <w:spacing w:before="150" w:beforeAutospacing="0" w:after="0" w:afterAutospacing="0" w:line="560" w:lineRule="exact"/>
        <w:ind w:firstLine="640" w:firstLineChars="200"/>
        <w:rPr>
          <w:rFonts w:ascii="仿宋_GB2312" w:hAnsi="Times New Roman" w:eastAsia="仿宋_GB2312" w:cs="Times New Roman"/>
          <w:sz w:val="32"/>
          <w:szCs w:val="32"/>
        </w:rPr>
      </w:pPr>
      <w:r>
        <w:rPr>
          <w:rStyle w:val="13"/>
          <w:rFonts w:hint="eastAsia" w:ascii="仿宋_GB2312" w:hAnsi="Times New Roman" w:eastAsia="仿宋_GB2312" w:cs="Times New Roman"/>
          <w:sz w:val="32"/>
          <w:szCs w:val="32"/>
          <w:shd w:val="clear" w:color="auto" w:fill="FFFFFF"/>
        </w:rPr>
        <w:t>第一部分 部门</w:t>
      </w:r>
      <w:r>
        <w:rPr>
          <w:rFonts w:hint="eastAsia" w:ascii="仿宋_GB2312" w:hAnsi="仿宋" w:eastAsia="仿宋_GB2312" w:cs="仿宋"/>
          <w:b/>
          <w:sz w:val="32"/>
          <w:szCs w:val="32"/>
        </w:rPr>
        <w:t>(或单位)</w:t>
      </w:r>
      <w:r>
        <w:rPr>
          <w:rStyle w:val="13"/>
          <w:rFonts w:hint="eastAsia" w:ascii="仿宋_GB2312" w:hAnsi="Times New Roman" w:eastAsia="仿宋_GB2312" w:cs="Times New Roman"/>
          <w:sz w:val="32"/>
          <w:szCs w:val="32"/>
          <w:shd w:val="clear" w:color="auto" w:fill="FFFFFF"/>
        </w:rPr>
        <w:t>概况</w:t>
      </w:r>
    </w:p>
    <w:p w14:paraId="19B35CD6">
      <w:pPr>
        <w:pStyle w:val="9"/>
        <w:spacing w:before="0" w:beforeAutospacing="0" w:after="0" w:afterAutospacing="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shd w:val="clear" w:color="auto" w:fill="FFFFFF"/>
        </w:rPr>
        <w:t>1.主要职责</w:t>
      </w:r>
    </w:p>
    <w:p w14:paraId="320C122A">
      <w:pPr>
        <w:pStyle w:val="9"/>
        <w:spacing w:before="0" w:beforeAutospacing="0" w:after="0" w:afterAutospacing="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shd w:val="clear" w:color="auto" w:fill="FFFFFF"/>
        </w:rPr>
        <w:t>2.部门预算单位构成</w:t>
      </w:r>
    </w:p>
    <w:p w14:paraId="3C9AEB84">
      <w:pPr>
        <w:pStyle w:val="9"/>
        <w:spacing w:before="0" w:beforeAutospacing="0" w:after="0" w:afterAutospacing="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shd w:val="clear" w:color="auto" w:fill="FFFFFF"/>
        </w:rPr>
        <w:t>3.</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年度主要工作任务</w:t>
      </w:r>
    </w:p>
    <w:p w14:paraId="798FFB73">
      <w:pPr>
        <w:pStyle w:val="9"/>
        <w:spacing w:before="0" w:beforeAutospacing="0" w:after="0" w:afterAutospacing="0" w:line="560" w:lineRule="exact"/>
        <w:ind w:firstLine="640" w:firstLineChars="200"/>
        <w:rPr>
          <w:rFonts w:ascii="仿宋_GB2312" w:hAnsi="Times New Roman" w:eastAsia="仿宋_GB2312" w:cs="Times New Roman"/>
          <w:sz w:val="32"/>
          <w:szCs w:val="32"/>
        </w:rPr>
      </w:pPr>
      <w:r>
        <w:rPr>
          <w:rStyle w:val="13"/>
          <w:rFonts w:hint="eastAsia" w:ascii="仿宋_GB2312" w:hAnsi="Times New Roman" w:eastAsia="仿宋_GB2312" w:cs="Times New Roman"/>
          <w:sz w:val="32"/>
          <w:szCs w:val="32"/>
          <w:shd w:val="clear" w:color="auto" w:fill="FFFFFF"/>
        </w:rPr>
        <w:t xml:space="preserve">第二部分 </w:t>
      </w:r>
      <w:r>
        <w:rPr>
          <w:rStyle w:val="13"/>
          <w:rFonts w:ascii="仿宋_GB2312" w:hAnsi="Times New Roman" w:eastAsia="仿宋_GB2312" w:cs="Times New Roman"/>
          <w:sz w:val="32"/>
          <w:szCs w:val="32"/>
          <w:shd w:val="clear" w:color="auto" w:fill="FFFFFF"/>
        </w:rPr>
        <w:t>202</w:t>
      </w:r>
      <w:r>
        <w:rPr>
          <w:rStyle w:val="13"/>
          <w:rFonts w:hint="eastAsia" w:ascii="仿宋_GB2312" w:hAnsi="Times New Roman" w:eastAsia="仿宋_GB2312" w:cs="Times New Roman"/>
          <w:sz w:val="32"/>
          <w:szCs w:val="32"/>
          <w:shd w:val="clear" w:color="auto" w:fill="FFFFFF"/>
        </w:rPr>
        <w:t>4年部门</w:t>
      </w:r>
      <w:r>
        <w:rPr>
          <w:rFonts w:hint="eastAsia" w:ascii="仿宋_GB2312" w:hAnsi="仿宋" w:eastAsia="仿宋_GB2312" w:cs="仿宋"/>
          <w:b/>
          <w:sz w:val="32"/>
          <w:szCs w:val="32"/>
        </w:rPr>
        <w:t>(或单位)</w:t>
      </w:r>
      <w:r>
        <w:rPr>
          <w:rStyle w:val="13"/>
          <w:rFonts w:hint="eastAsia" w:ascii="仿宋_GB2312" w:hAnsi="Times New Roman" w:eastAsia="仿宋_GB2312" w:cs="Times New Roman"/>
          <w:sz w:val="32"/>
          <w:szCs w:val="32"/>
          <w:shd w:val="clear" w:color="auto" w:fill="FFFFFF"/>
        </w:rPr>
        <w:t>预算表</w:t>
      </w:r>
    </w:p>
    <w:p w14:paraId="56D3ED7E">
      <w:pPr>
        <w:pStyle w:val="9"/>
        <w:spacing w:before="0" w:beforeAutospacing="0" w:after="0" w:afterAutospacing="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shd w:val="clear" w:color="auto" w:fill="FFFFFF"/>
        </w:rPr>
        <w:t>1.黄山市经济和信息化局</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年收支预算总表</w:t>
      </w:r>
    </w:p>
    <w:p w14:paraId="509E71D0">
      <w:pPr>
        <w:pStyle w:val="9"/>
        <w:spacing w:before="0" w:beforeAutospacing="0" w:after="0" w:afterAutospacing="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shd w:val="clear" w:color="auto" w:fill="FFFFFF"/>
        </w:rPr>
        <w:t>2.</w:t>
      </w:r>
      <w:r>
        <w:rPr>
          <w:rFonts w:hint="eastAsia" w:ascii="仿宋_GB2312" w:hAnsi="仿宋" w:eastAsia="仿宋_GB2312" w:cs="仿宋"/>
          <w:bCs/>
          <w:sz w:val="32"/>
          <w:szCs w:val="32"/>
        </w:rPr>
        <w:t>黄山市经济和信息化局</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年收入预算总表</w:t>
      </w:r>
    </w:p>
    <w:p w14:paraId="7506A49B">
      <w:pPr>
        <w:pStyle w:val="9"/>
        <w:spacing w:before="0" w:beforeAutospacing="0" w:after="0" w:afterAutospacing="0" w:line="560" w:lineRule="exact"/>
        <w:ind w:firstLine="640" w:firstLineChars="200"/>
        <w:rPr>
          <w:rFonts w:ascii="仿宋_GB2312" w:hAnsi="Times New Roman" w:eastAsia="仿宋_GB2312" w:cs="Times New Roman"/>
          <w:sz w:val="32"/>
          <w:szCs w:val="32"/>
          <w:shd w:val="clear" w:color="auto" w:fill="FFFFFF"/>
        </w:rPr>
      </w:pPr>
      <w:r>
        <w:rPr>
          <w:rFonts w:hint="eastAsia" w:ascii="仿宋_GB2312" w:hAnsi="Times New Roman" w:eastAsia="仿宋_GB2312" w:cs="Times New Roman"/>
          <w:sz w:val="32"/>
          <w:szCs w:val="32"/>
          <w:shd w:val="clear" w:color="auto" w:fill="FFFFFF"/>
        </w:rPr>
        <w:t>3.</w:t>
      </w:r>
      <w:r>
        <w:rPr>
          <w:rFonts w:hint="eastAsia" w:ascii="仿宋_GB2312" w:hAnsi="仿宋" w:eastAsia="仿宋_GB2312" w:cs="仿宋"/>
          <w:bCs/>
          <w:sz w:val="32"/>
          <w:szCs w:val="32"/>
        </w:rPr>
        <w:t>黄山市经济和信息化局</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年支出预算总表</w:t>
      </w:r>
    </w:p>
    <w:p w14:paraId="584C34A2">
      <w:pPr>
        <w:pStyle w:val="9"/>
        <w:spacing w:before="0" w:beforeAutospacing="0" w:after="0" w:afterAutospacing="0" w:line="560" w:lineRule="exact"/>
        <w:ind w:firstLine="640" w:firstLineChars="200"/>
        <w:rPr>
          <w:rFonts w:ascii="仿宋_GB2312" w:hAnsi="Times New Roman" w:eastAsia="仿宋_GB2312" w:cs="Times New Roman"/>
          <w:sz w:val="32"/>
          <w:szCs w:val="32"/>
          <w:shd w:val="clear" w:color="auto" w:fill="FFFFFF"/>
        </w:rPr>
      </w:pPr>
      <w:r>
        <w:rPr>
          <w:rFonts w:hint="eastAsia" w:ascii="仿宋_GB2312" w:hAnsi="仿宋" w:eastAsia="仿宋_GB2312" w:cs="仿宋"/>
          <w:bCs/>
          <w:sz w:val="32"/>
          <w:szCs w:val="32"/>
        </w:rPr>
        <w:t>4.黄山市经济和信息化局</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年财政拨款收支预算总表</w:t>
      </w:r>
    </w:p>
    <w:p w14:paraId="75295EAD">
      <w:pPr>
        <w:pStyle w:val="9"/>
        <w:spacing w:before="0" w:beforeAutospacing="0" w:after="0" w:afterAutospacing="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shd w:val="clear" w:color="auto" w:fill="FFFFFF"/>
        </w:rPr>
        <w:t>5.</w:t>
      </w:r>
      <w:r>
        <w:rPr>
          <w:rFonts w:hint="eastAsia" w:ascii="仿宋_GB2312" w:hAnsi="仿宋" w:eastAsia="仿宋_GB2312" w:cs="仿宋"/>
          <w:bCs/>
          <w:sz w:val="32"/>
          <w:szCs w:val="32"/>
        </w:rPr>
        <w:t>黄山市经济和信息化局</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年一般公共预算支出表</w:t>
      </w:r>
    </w:p>
    <w:p w14:paraId="22DFFD40">
      <w:pPr>
        <w:pStyle w:val="9"/>
        <w:spacing w:before="0" w:beforeAutospacing="0" w:after="0" w:afterAutospacing="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shd w:val="clear" w:color="auto" w:fill="FFFFFF"/>
        </w:rPr>
        <w:t>6.</w:t>
      </w:r>
      <w:r>
        <w:rPr>
          <w:rFonts w:hint="eastAsia" w:ascii="仿宋_GB2312" w:hAnsi="仿宋" w:eastAsia="仿宋_GB2312" w:cs="仿宋"/>
          <w:bCs/>
          <w:sz w:val="32"/>
          <w:szCs w:val="32"/>
        </w:rPr>
        <w:t>黄山市经济和信息化局</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年一般公共预算基本支出表</w:t>
      </w:r>
    </w:p>
    <w:p w14:paraId="6385CD09">
      <w:pPr>
        <w:pStyle w:val="9"/>
        <w:spacing w:before="0" w:beforeAutospacing="0" w:after="0" w:afterAutospacing="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shd w:val="clear" w:color="auto" w:fill="FFFFFF"/>
        </w:rPr>
        <w:t>7.</w:t>
      </w:r>
      <w:r>
        <w:rPr>
          <w:rFonts w:hint="eastAsia" w:ascii="仿宋_GB2312" w:hAnsi="仿宋" w:eastAsia="仿宋_GB2312" w:cs="仿宋"/>
          <w:bCs/>
          <w:sz w:val="32"/>
          <w:szCs w:val="32"/>
        </w:rPr>
        <w:t>黄山市经济和信息化局</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年政府性基金预算支出表</w:t>
      </w:r>
    </w:p>
    <w:p w14:paraId="79D38047">
      <w:pPr>
        <w:pStyle w:val="9"/>
        <w:spacing w:before="0" w:beforeAutospacing="0" w:after="0" w:afterAutospacing="0" w:line="560" w:lineRule="exact"/>
        <w:ind w:firstLine="640" w:firstLineChars="200"/>
        <w:rPr>
          <w:rFonts w:ascii="仿宋_GB2312" w:hAnsi="Times New Roman" w:eastAsia="仿宋_GB2312" w:cs="Times New Roman"/>
          <w:sz w:val="32"/>
          <w:szCs w:val="32"/>
          <w:shd w:val="clear" w:color="auto" w:fill="FFFFFF"/>
        </w:rPr>
      </w:pPr>
      <w:r>
        <w:rPr>
          <w:rFonts w:hint="eastAsia" w:ascii="仿宋_GB2312" w:hAnsi="Times New Roman" w:eastAsia="仿宋_GB2312" w:cs="Times New Roman"/>
          <w:sz w:val="32"/>
          <w:szCs w:val="32"/>
          <w:shd w:val="clear" w:color="auto" w:fill="FFFFFF"/>
        </w:rPr>
        <w:t>8.</w:t>
      </w:r>
      <w:r>
        <w:rPr>
          <w:rFonts w:hint="eastAsia" w:ascii="仿宋_GB2312" w:hAnsi="仿宋" w:eastAsia="仿宋_GB2312" w:cs="仿宋"/>
          <w:bCs/>
          <w:sz w:val="32"/>
          <w:szCs w:val="32"/>
        </w:rPr>
        <w:t>黄山市经济和信息化局</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年国有资本经营预算支出表</w:t>
      </w:r>
    </w:p>
    <w:p w14:paraId="5AA51398">
      <w:pPr>
        <w:pStyle w:val="9"/>
        <w:spacing w:before="0" w:beforeAutospacing="0" w:after="0" w:afterAutospacing="0" w:line="560" w:lineRule="exact"/>
        <w:ind w:firstLine="640" w:firstLineChars="200"/>
        <w:rPr>
          <w:rFonts w:ascii="仿宋_GB2312" w:hAnsi="Times New Roman" w:eastAsia="仿宋_GB2312" w:cs="Times New Roman"/>
          <w:sz w:val="32"/>
          <w:szCs w:val="32"/>
          <w:shd w:val="clear" w:color="auto" w:fill="FFFFFF"/>
        </w:rPr>
      </w:pPr>
      <w:r>
        <w:rPr>
          <w:rFonts w:hint="eastAsia" w:ascii="仿宋_GB2312" w:hAnsi="Times New Roman" w:eastAsia="仿宋_GB2312" w:cs="Times New Roman"/>
          <w:sz w:val="32"/>
          <w:szCs w:val="32"/>
          <w:shd w:val="clear" w:color="auto" w:fill="FFFFFF"/>
        </w:rPr>
        <w:t>9.</w:t>
      </w:r>
      <w:r>
        <w:rPr>
          <w:rFonts w:hint="eastAsia" w:ascii="仿宋_GB2312" w:hAnsi="仿宋" w:eastAsia="仿宋_GB2312" w:cs="仿宋"/>
          <w:bCs/>
          <w:sz w:val="32"/>
          <w:szCs w:val="32"/>
        </w:rPr>
        <w:t>黄山市经济和信息化局</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年基本支出表</w:t>
      </w:r>
    </w:p>
    <w:p w14:paraId="2D3F3921">
      <w:pPr>
        <w:pStyle w:val="9"/>
        <w:spacing w:before="0" w:beforeAutospacing="0" w:after="0" w:afterAutospacing="0" w:line="560" w:lineRule="exact"/>
        <w:ind w:firstLine="640" w:firstLineChars="200"/>
        <w:rPr>
          <w:rFonts w:ascii="仿宋_GB2312" w:hAnsi="Times New Roman" w:eastAsia="仿宋_GB2312" w:cs="Times New Roman"/>
          <w:sz w:val="32"/>
          <w:szCs w:val="32"/>
          <w:shd w:val="clear" w:color="auto" w:fill="FFFFFF"/>
        </w:rPr>
      </w:pPr>
      <w:r>
        <w:rPr>
          <w:rFonts w:hint="eastAsia" w:ascii="仿宋_GB2312" w:hAnsi="Times New Roman" w:eastAsia="仿宋_GB2312" w:cs="Times New Roman"/>
          <w:sz w:val="32"/>
          <w:szCs w:val="32"/>
          <w:shd w:val="clear" w:color="auto" w:fill="FFFFFF"/>
        </w:rPr>
        <w:t>10.</w:t>
      </w:r>
      <w:r>
        <w:rPr>
          <w:rFonts w:hint="eastAsia" w:ascii="仿宋_GB2312" w:hAnsi="仿宋" w:eastAsia="仿宋_GB2312" w:cs="仿宋"/>
          <w:bCs/>
          <w:sz w:val="32"/>
          <w:szCs w:val="32"/>
        </w:rPr>
        <w:t>黄山市经济和信息化局</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年项目支出表</w:t>
      </w:r>
    </w:p>
    <w:p w14:paraId="1B39B924">
      <w:pPr>
        <w:pStyle w:val="9"/>
        <w:spacing w:before="0" w:beforeAutospacing="0" w:after="0" w:afterAutospacing="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shd w:val="clear" w:color="auto" w:fill="FFFFFF"/>
        </w:rPr>
        <w:t>11.</w:t>
      </w:r>
      <w:r>
        <w:rPr>
          <w:rFonts w:hint="eastAsia" w:ascii="仿宋_GB2312" w:hAnsi="仿宋" w:eastAsia="仿宋_GB2312" w:cs="仿宋"/>
          <w:bCs/>
          <w:sz w:val="32"/>
          <w:szCs w:val="32"/>
        </w:rPr>
        <w:t>黄山市经济和信息化局</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年政府采购预算支出表</w:t>
      </w:r>
    </w:p>
    <w:p w14:paraId="7F6B2F4A">
      <w:pPr>
        <w:pStyle w:val="9"/>
        <w:spacing w:before="0" w:beforeAutospacing="0" w:after="0" w:afterAutospacing="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shd w:val="clear" w:color="auto" w:fill="FFFFFF"/>
        </w:rPr>
        <w:t>12.</w:t>
      </w:r>
      <w:r>
        <w:rPr>
          <w:rFonts w:hint="eastAsia" w:ascii="仿宋_GB2312" w:hAnsi="仿宋" w:eastAsia="仿宋_GB2312" w:cs="仿宋"/>
          <w:bCs/>
          <w:sz w:val="32"/>
          <w:szCs w:val="32"/>
        </w:rPr>
        <w:t>黄山市经济和信息化局</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年政府购买服务预算支出表</w:t>
      </w:r>
    </w:p>
    <w:p w14:paraId="13DBE721">
      <w:pPr>
        <w:pStyle w:val="9"/>
        <w:spacing w:before="0" w:beforeAutospacing="0" w:after="0" w:afterAutospacing="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shd w:val="clear" w:color="auto" w:fill="FFFFFF"/>
        </w:rPr>
        <w:t>13.</w:t>
      </w:r>
      <w:r>
        <w:rPr>
          <w:rFonts w:hint="eastAsia" w:ascii="仿宋_GB2312" w:hAnsi="仿宋" w:eastAsia="仿宋_GB2312" w:cs="仿宋"/>
          <w:bCs/>
          <w:sz w:val="32"/>
          <w:szCs w:val="32"/>
        </w:rPr>
        <w:t>黄山市经济和信息化局</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年项目支出绩效目标及项目情况表</w:t>
      </w:r>
    </w:p>
    <w:p w14:paraId="363BD7CB">
      <w:pPr>
        <w:pStyle w:val="9"/>
        <w:spacing w:before="0" w:beforeAutospacing="0" w:after="0" w:afterAutospacing="0" w:line="560" w:lineRule="exact"/>
        <w:ind w:firstLine="640" w:firstLineChars="200"/>
        <w:rPr>
          <w:rFonts w:ascii="仿宋_GB2312" w:hAnsi="Times New Roman" w:eastAsia="仿宋_GB2312" w:cs="Times New Roman"/>
          <w:sz w:val="32"/>
          <w:szCs w:val="32"/>
          <w:shd w:val="clear" w:color="auto" w:fill="FFFFFF"/>
        </w:rPr>
      </w:pPr>
      <w:r>
        <w:rPr>
          <w:rFonts w:hint="eastAsia" w:ascii="仿宋_GB2312" w:hAnsi="Times New Roman" w:eastAsia="仿宋_GB2312" w:cs="Times New Roman"/>
          <w:sz w:val="32"/>
          <w:szCs w:val="32"/>
          <w:shd w:val="clear" w:color="auto" w:fill="FFFFFF"/>
        </w:rPr>
        <w:t>14.</w:t>
      </w:r>
      <w:r>
        <w:rPr>
          <w:rFonts w:hint="eastAsia" w:ascii="仿宋_GB2312" w:hAnsi="仿宋" w:eastAsia="仿宋_GB2312" w:cs="仿宋"/>
          <w:bCs/>
          <w:sz w:val="32"/>
          <w:szCs w:val="32"/>
        </w:rPr>
        <w:t>黄山市经济和信息化局</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年“三公”经费财政拨款支出预算表</w:t>
      </w:r>
    </w:p>
    <w:p w14:paraId="481A454F">
      <w:pPr>
        <w:pStyle w:val="9"/>
        <w:spacing w:before="0" w:beforeAutospacing="0" w:after="0" w:afterAutospacing="0" w:line="560" w:lineRule="exact"/>
        <w:ind w:firstLine="640" w:firstLineChars="200"/>
        <w:rPr>
          <w:rFonts w:ascii="仿宋_GB2312" w:hAnsi="Times New Roman" w:eastAsia="仿宋_GB2312" w:cs="Times New Roman"/>
          <w:sz w:val="32"/>
          <w:szCs w:val="32"/>
        </w:rPr>
      </w:pPr>
      <w:r>
        <w:rPr>
          <w:rStyle w:val="13"/>
          <w:rFonts w:hint="eastAsia" w:ascii="仿宋_GB2312" w:hAnsi="Times New Roman" w:eastAsia="仿宋_GB2312" w:cs="Times New Roman"/>
          <w:sz w:val="32"/>
          <w:szCs w:val="32"/>
          <w:shd w:val="clear" w:color="auto" w:fill="FFFFFF"/>
        </w:rPr>
        <w:t xml:space="preserve">第三部分 </w:t>
      </w:r>
      <w:r>
        <w:rPr>
          <w:rStyle w:val="13"/>
          <w:rFonts w:ascii="仿宋_GB2312" w:hAnsi="Times New Roman" w:eastAsia="仿宋_GB2312" w:cs="Times New Roman"/>
          <w:sz w:val="32"/>
          <w:szCs w:val="32"/>
          <w:shd w:val="clear" w:color="auto" w:fill="FFFFFF"/>
        </w:rPr>
        <w:t>2024</w:t>
      </w:r>
      <w:r>
        <w:rPr>
          <w:rStyle w:val="13"/>
          <w:rFonts w:hint="eastAsia" w:ascii="仿宋_GB2312" w:hAnsi="Times New Roman" w:eastAsia="仿宋_GB2312" w:cs="Times New Roman"/>
          <w:sz w:val="32"/>
          <w:szCs w:val="32"/>
          <w:shd w:val="clear" w:color="auto" w:fill="FFFFFF"/>
        </w:rPr>
        <w:t>年部门预算情况说明</w:t>
      </w:r>
    </w:p>
    <w:p w14:paraId="540D8704">
      <w:pPr>
        <w:pStyle w:val="9"/>
        <w:spacing w:before="0" w:beforeAutospacing="0" w:after="0" w:afterAutospacing="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shd w:val="clear" w:color="auto" w:fill="FFFFFF"/>
        </w:rPr>
        <w:t>1.关于</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年收支预算总体情况说明</w:t>
      </w:r>
    </w:p>
    <w:p w14:paraId="6DA30E92">
      <w:pPr>
        <w:pStyle w:val="9"/>
        <w:spacing w:before="0" w:beforeAutospacing="0" w:after="0" w:afterAutospacing="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shd w:val="clear" w:color="auto" w:fill="FFFFFF"/>
        </w:rPr>
        <w:t>2.关于</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年收入预算情况说明</w:t>
      </w:r>
    </w:p>
    <w:p w14:paraId="223773CB">
      <w:pPr>
        <w:pStyle w:val="9"/>
        <w:spacing w:before="0" w:beforeAutospacing="0" w:after="0" w:afterAutospacing="0" w:line="560" w:lineRule="exact"/>
        <w:ind w:firstLine="640" w:firstLineChars="200"/>
        <w:rPr>
          <w:rFonts w:ascii="仿宋_GB2312" w:hAnsi="Times New Roman" w:eastAsia="仿宋_GB2312" w:cs="Times New Roman"/>
          <w:sz w:val="32"/>
          <w:szCs w:val="32"/>
          <w:shd w:val="clear" w:color="auto" w:fill="FFFFFF"/>
        </w:rPr>
      </w:pPr>
      <w:r>
        <w:rPr>
          <w:rFonts w:hint="eastAsia" w:ascii="仿宋_GB2312" w:hAnsi="Times New Roman" w:eastAsia="仿宋_GB2312" w:cs="Times New Roman"/>
          <w:sz w:val="32"/>
          <w:szCs w:val="32"/>
          <w:shd w:val="clear" w:color="auto" w:fill="FFFFFF"/>
        </w:rPr>
        <w:t>3.关于</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年支出预算情况说明</w:t>
      </w:r>
    </w:p>
    <w:p w14:paraId="2D166D21">
      <w:pPr>
        <w:pStyle w:val="9"/>
        <w:spacing w:before="0" w:beforeAutospacing="0" w:after="0" w:afterAutospacing="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shd w:val="clear" w:color="auto" w:fill="FFFFFF"/>
        </w:rPr>
        <w:t>4.关于</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年财政拨款收支预算总体情况说明</w:t>
      </w:r>
    </w:p>
    <w:p w14:paraId="5ACE159E">
      <w:pPr>
        <w:pStyle w:val="9"/>
        <w:spacing w:before="0" w:beforeAutospacing="0" w:after="0" w:afterAutospacing="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shd w:val="clear" w:color="auto" w:fill="FFFFFF"/>
        </w:rPr>
        <w:t>5.关于</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年一般公共预算财政拨款情况说明</w:t>
      </w:r>
    </w:p>
    <w:p w14:paraId="01AAFAEC">
      <w:pPr>
        <w:pStyle w:val="9"/>
        <w:spacing w:before="0" w:beforeAutospacing="0" w:after="0" w:afterAutospacing="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shd w:val="clear" w:color="auto" w:fill="FFFFFF"/>
        </w:rPr>
        <w:t>6.关于</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年一般公共预算基本支出情况说明</w:t>
      </w:r>
    </w:p>
    <w:p w14:paraId="39D28BF5">
      <w:pPr>
        <w:pStyle w:val="9"/>
        <w:spacing w:before="0" w:beforeAutospacing="0" w:after="0" w:afterAutospacing="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shd w:val="clear" w:color="auto" w:fill="FFFFFF"/>
        </w:rPr>
        <w:t>7.关于</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年政府性基金预算拨款情况说明</w:t>
      </w:r>
    </w:p>
    <w:p w14:paraId="4C065655">
      <w:pPr>
        <w:pStyle w:val="9"/>
        <w:spacing w:before="0" w:beforeAutospacing="0" w:after="0" w:afterAutospacing="0" w:line="560" w:lineRule="exact"/>
        <w:ind w:firstLine="640" w:firstLineChars="200"/>
        <w:rPr>
          <w:rFonts w:ascii="仿宋_GB2312" w:hAnsi="Times New Roman" w:eastAsia="仿宋_GB2312" w:cs="Times New Roman"/>
          <w:sz w:val="32"/>
          <w:szCs w:val="32"/>
          <w:shd w:val="clear" w:color="auto" w:fill="FFFFFF"/>
        </w:rPr>
      </w:pPr>
      <w:r>
        <w:rPr>
          <w:rFonts w:hint="eastAsia" w:ascii="仿宋_GB2312" w:hAnsi="Times New Roman" w:eastAsia="仿宋_GB2312" w:cs="Times New Roman"/>
          <w:sz w:val="32"/>
          <w:szCs w:val="32"/>
          <w:shd w:val="clear" w:color="auto" w:fill="FFFFFF"/>
        </w:rPr>
        <w:t>8.关于</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年国有资本经营预算拨款情况说明</w:t>
      </w:r>
    </w:p>
    <w:p w14:paraId="6BB39D82">
      <w:pPr>
        <w:pStyle w:val="9"/>
        <w:spacing w:before="0" w:beforeAutospacing="0" w:after="0" w:afterAutospacing="0" w:line="560" w:lineRule="exact"/>
        <w:ind w:firstLine="640" w:firstLineChars="200"/>
        <w:rPr>
          <w:rFonts w:ascii="仿宋_GB2312" w:hAnsi="Times New Roman" w:eastAsia="仿宋_GB2312" w:cs="Times New Roman"/>
          <w:sz w:val="32"/>
          <w:szCs w:val="32"/>
          <w:shd w:val="clear" w:color="auto" w:fill="FFFFFF"/>
        </w:rPr>
      </w:pPr>
      <w:r>
        <w:rPr>
          <w:rFonts w:hint="eastAsia" w:ascii="仿宋_GB2312" w:hAnsi="Times New Roman" w:eastAsia="仿宋_GB2312" w:cs="Times New Roman"/>
          <w:sz w:val="32"/>
          <w:szCs w:val="32"/>
          <w:shd w:val="clear" w:color="auto" w:fill="FFFFFF"/>
        </w:rPr>
        <w:t>9.关于</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年项目支出表的说明</w:t>
      </w:r>
    </w:p>
    <w:p w14:paraId="23AFE9C5">
      <w:pPr>
        <w:pStyle w:val="9"/>
        <w:spacing w:before="0" w:beforeAutospacing="0" w:after="0" w:afterAutospacing="0" w:line="560" w:lineRule="exact"/>
        <w:ind w:firstLine="640" w:firstLineChars="200"/>
        <w:rPr>
          <w:rFonts w:ascii="仿宋_GB2312" w:hAnsi="Times New Roman" w:eastAsia="仿宋_GB2312" w:cs="Times New Roman"/>
          <w:sz w:val="32"/>
          <w:szCs w:val="32"/>
          <w:shd w:val="clear" w:color="auto" w:fill="FFFFFF"/>
        </w:rPr>
      </w:pPr>
      <w:r>
        <w:rPr>
          <w:rFonts w:hint="eastAsia" w:ascii="仿宋_GB2312" w:hAnsi="Times New Roman" w:eastAsia="仿宋_GB2312" w:cs="Times New Roman"/>
          <w:sz w:val="32"/>
          <w:szCs w:val="32"/>
          <w:shd w:val="clear" w:color="auto" w:fill="FFFFFF"/>
        </w:rPr>
        <w:t>10.关于</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年政府采购支出表的说明</w:t>
      </w:r>
    </w:p>
    <w:p w14:paraId="1EF97C5D">
      <w:pPr>
        <w:pStyle w:val="9"/>
        <w:spacing w:before="0" w:beforeAutospacing="0" w:after="0" w:afterAutospacing="0" w:line="560" w:lineRule="exact"/>
        <w:ind w:firstLine="640" w:firstLineChars="200"/>
        <w:rPr>
          <w:rFonts w:ascii="仿宋_GB2312" w:hAnsi="Times New Roman" w:eastAsia="仿宋_GB2312" w:cs="Times New Roman"/>
          <w:sz w:val="32"/>
          <w:szCs w:val="32"/>
          <w:shd w:val="clear" w:color="auto" w:fill="FFFFFF"/>
        </w:rPr>
      </w:pPr>
      <w:r>
        <w:rPr>
          <w:rFonts w:hint="eastAsia" w:ascii="仿宋_GB2312" w:hAnsi="Times New Roman" w:eastAsia="仿宋_GB2312" w:cs="Times New Roman"/>
          <w:sz w:val="32"/>
          <w:szCs w:val="32"/>
          <w:shd w:val="clear" w:color="auto" w:fill="FFFFFF"/>
        </w:rPr>
        <w:t>11.关于</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年政府购买服务支出表的说明</w:t>
      </w:r>
    </w:p>
    <w:p w14:paraId="6F48D9C6">
      <w:pPr>
        <w:pStyle w:val="9"/>
        <w:spacing w:before="0" w:beforeAutospacing="0" w:after="0" w:afterAutospacing="0" w:line="560" w:lineRule="exact"/>
        <w:ind w:firstLine="640" w:firstLineChars="200"/>
        <w:rPr>
          <w:rFonts w:ascii="仿宋_GB2312" w:hAnsi="Times New Roman" w:eastAsia="仿宋_GB2312" w:cs="Times New Roman"/>
          <w:sz w:val="32"/>
          <w:szCs w:val="32"/>
          <w:shd w:val="clear" w:color="auto" w:fill="FFFFFF"/>
        </w:rPr>
      </w:pPr>
      <w:r>
        <w:rPr>
          <w:rFonts w:hint="eastAsia" w:ascii="仿宋_GB2312" w:hAnsi="Times New Roman" w:eastAsia="仿宋_GB2312" w:cs="Times New Roman"/>
          <w:sz w:val="32"/>
          <w:szCs w:val="32"/>
          <w:shd w:val="clear" w:color="auto" w:fill="FFFFFF"/>
        </w:rPr>
        <w:t>12.关于</w:t>
      </w:r>
      <w:r>
        <w:rPr>
          <w:rFonts w:ascii="仿宋_GB2312" w:hAnsi="Times New Roman" w:eastAsia="仿宋_GB2312" w:cs="Times New Roman"/>
          <w:sz w:val="32"/>
          <w:szCs w:val="32"/>
          <w:shd w:val="clear" w:color="auto" w:fill="FFFFFF"/>
        </w:rPr>
        <w:t>2024</w:t>
      </w:r>
      <w:r>
        <w:rPr>
          <w:rFonts w:hint="eastAsia" w:ascii="仿宋_GB2312" w:hAnsi="Times New Roman" w:eastAsia="仿宋_GB2312" w:cs="Times New Roman"/>
          <w:sz w:val="32"/>
          <w:szCs w:val="32"/>
          <w:shd w:val="clear" w:color="auto" w:fill="FFFFFF"/>
        </w:rPr>
        <w:t>年“三公”经费预算情况说明</w:t>
      </w:r>
    </w:p>
    <w:p w14:paraId="3104D9AA">
      <w:pPr>
        <w:pStyle w:val="9"/>
        <w:spacing w:before="0" w:beforeAutospacing="0" w:after="0" w:afterAutospacing="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shd w:val="clear" w:color="auto" w:fill="FFFFFF"/>
        </w:rPr>
        <w:t>13.其他重要事项情况说明</w:t>
      </w:r>
    </w:p>
    <w:p w14:paraId="1D88994C">
      <w:pPr>
        <w:pStyle w:val="9"/>
        <w:spacing w:before="0" w:beforeAutospacing="0" w:after="0" w:afterAutospacing="0" w:line="560" w:lineRule="exact"/>
        <w:ind w:firstLine="640" w:firstLineChars="200"/>
        <w:rPr>
          <w:rStyle w:val="13"/>
          <w:rFonts w:ascii="仿宋_GB2312" w:hAnsi="Times New Roman" w:eastAsia="仿宋_GB2312" w:cs="Times New Roman"/>
          <w:sz w:val="32"/>
          <w:szCs w:val="32"/>
          <w:shd w:val="clear" w:color="auto" w:fill="FFFFFF"/>
        </w:rPr>
      </w:pPr>
      <w:r>
        <w:rPr>
          <w:rStyle w:val="13"/>
          <w:rFonts w:hint="eastAsia" w:ascii="仿宋_GB2312" w:hAnsi="Times New Roman" w:eastAsia="仿宋_GB2312" w:cs="Times New Roman"/>
          <w:sz w:val="32"/>
          <w:szCs w:val="32"/>
          <w:shd w:val="clear" w:color="auto" w:fill="FFFFFF"/>
        </w:rPr>
        <w:t>第四部分 名词解释</w:t>
      </w:r>
    </w:p>
    <w:p w14:paraId="05055F46">
      <w:pPr>
        <w:pStyle w:val="9"/>
        <w:spacing w:before="0" w:beforeAutospacing="0" w:after="0" w:afterAutospacing="0" w:line="400" w:lineRule="exact"/>
        <w:ind w:firstLine="573"/>
        <w:rPr>
          <w:rFonts w:ascii="仿宋_GB2312" w:hAnsi="Times New Roman" w:eastAsia="仿宋_GB2312" w:cs="Times New Roman"/>
          <w:color w:val="333333"/>
          <w:sz w:val="43"/>
          <w:szCs w:val="43"/>
          <w:shd w:val="clear" w:color="auto" w:fill="FFFFFF"/>
        </w:rPr>
      </w:pPr>
    </w:p>
    <w:p w14:paraId="61A5DDDB">
      <w:pPr>
        <w:pStyle w:val="9"/>
        <w:spacing w:before="0" w:beforeAutospacing="0" w:after="0" w:afterAutospacing="0" w:line="400" w:lineRule="exact"/>
        <w:ind w:firstLine="573"/>
        <w:rPr>
          <w:rFonts w:ascii="仿宋_GB2312" w:hAnsi="Times New Roman" w:eastAsia="仿宋_GB2312" w:cs="Times New Roman"/>
          <w:color w:val="333333"/>
          <w:sz w:val="43"/>
          <w:szCs w:val="43"/>
          <w:shd w:val="clear" w:color="auto" w:fill="FFFFFF"/>
        </w:rPr>
      </w:pPr>
    </w:p>
    <w:p w14:paraId="2E44E4ED">
      <w:pPr>
        <w:pStyle w:val="9"/>
        <w:spacing w:before="0" w:beforeAutospacing="0" w:after="0" w:afterAutospacing="0" w:line="400" w:lineRule="exact"/>
        <w:ind w:firstLine="573"/>
        <w:rPr>
          <w:rFonts w:ascii="仿宋_GB2312" w:hAnsi="Times New Roman" w:eastAsia="仿宋_GB2312" w:cs="Times New Roman"/>
          <w:color w:val="333333"/>
          <w:sz w:val="43"/>
          <w:szCs w:val="43"/>
          <w:shd w:val="clear" w:color="auto" w:fill="FFFFFF"/>
        </w:rPr>
      </w:pPr>
    </w:p>
    <w:p w14:paraId="606B7057">
      <w:pPr>
        <w:pStyle w:val="9"/>
        <w:spacing w:before="0" w:beforeAutospacing="0" w:after="0" w:afterAutospacing="0" w:line="400" w:lineRule="exact"/>
        <w:ind w:firstLine="573"/>
        <w:rPr>
          <w:rFonts w:ascii="仿宋_GB2312" w:hAnsi="Times New Roman" w:eastAsia="仿宋_GB2312" w:cs="Times New Roman"/>
          <w:color w:val="333333"/>
          <w:sz w:val="43"/>
          <w:szCs w:val="43"/>
          <w:shd w:val="clear" w:color="auto" w:fill="FFFFFF"/>
        </w:rPr>
      </w:pPr>
    </w:p>
    <w:p w14:paraId="78C94108">
      <w:pPr>
        <w:pStyle w:val="9"/>
        <w:spacing w:before="0" w:beforeAutospacing="0" w:after="0" w:afterAutospacing="0" w:line="400" w:lineRule="exact"/>
        <w:ind w:firstLine="573"/>
        <w:rPr>
          <w:rFonts w:ascii="仿宋_GB2312" w:hAnsi="Times New Roman" w:eastAsia="仿宋_GB2312" w:cs="Times New Roman"/>
          <w:color w:val="333333"/>
          <w:sz w:val="43"/>
          <w:szCs w:val="43"/>
          <w:shd w:val="clear" w:color="auto" w:fill="FFFFFF"/>
        </w:rPr>
      </w:pPr>
    </w:p>
    <w:p w14:paraId="0F553417">
      <w:pPr>
        <w:pStyle w:val="9"/>
        <w:spacing w:before="0" w:beforeAutospacing="0" w:after="0" w:afterAutospacing="0" w:line="555" w:lineRule="atLeast"/>
        <w:ind w:firstLine="360" w:firstLineChars="100"/>
        <w:jc w:val="center"/>
        <w:rPr>
          <w:rFonts w:ascii="Times New Roman" w:hAnsi="Times New Roman" w:eastAsia="黑体" w:cs="Times New Roman"/>
          <w:color w:val="333333"/>
          <w:sz w:val="36"/>
          <w:szCs w:val="36"/>
          <w:shd w:val="clear" w:color="auto" w:fill="FFFFFF"/>
        </w:rPr>
      </w:pPr>
    </w:p>
    <w:p w14:paraId="7DB993CF">
      <w:pPr>
        <w:pStyle w:val="9"/>
        <w:spacing w:before="0" w:beforeAutospacing="0" w:after="0" w:afterAutospacing="0" w:line="555" w:lineRule="atLeast"/>
        <w:ind w:firstLine="360" w:firstLineChars="100"/>
        <w:jc w:val="center"/>
        <w:rPr>
          <w:rFonts w:ascii="Times New Roman" w:hAnsi="Times New Roman" w:eastAsia="黑体" w:cs="Times New Roman"/>
          <w:color w:val="333333"/>
          <w:sz w:val="36"/>
          <w:szCs w:val="36"/>
          <w:shd w:val="clear" w:color="auto" w:fill="FFFFFF"/>
        </w:rPr>
      </w:pPr>
    </w:p>
    <w:p w14:paraId="671B98AA">
      <w:pPr>
        <w:pStyle w:val="9"/>
        <w:spacing w:before="0" w:beforeAutospacing="0" w:after="0" w:afterAutospacing="0" w:line="555" w:lineRule="atLeast"/>
        <w:ind w:firstLine="360" w:firstLineChars="100"/>
        <w:jc w:val="center"/>
        <w:rPr>
          <w:rFonts w:ascii="Times New Roman" w:hAnsi="Times New Roman" w:eastAsia="黑体" w:cs="Times New Roman"/>
          <w:color w:val="333333"/>
          <w:sz w:val="36"/>
          <w:szCs w:val="36"/>
          <w:shd w:val="clear" w:color="auto" w:fill="FFFFFF"/>
        </w:rPr>
      </w:pPr>
    </w:p>
    <w:p w14:paraId="2BD38537">
      <w:pPr>
        <w:pStyle w:val="9"/>
        <w:spacing w:before="0" w:beforeAutospacing="0" w:after="0" w:afterAutospacing="0" w:line="555" w:lineRule="atLeast"/>
        <w:ind w:firstLine="360" w:firstLineChars="100"/>
        <w:jc w:val="center"/>
        <w:rPr>
          <w:rFonts w:ascii="Times New Roman" w:hAnsi="Times New Roman" w:eastAsia="黑体" w:cs="Times New Roman"/>
          <w:color w:val="333333"/>
          <w:sz w:val="36"/>
          <w:szCs w:val="36"/>
          <w:shd w:val="clear" w:color="auto" w:fill="FFFFFF"/>
        </w:rPr>
      </w:pPr>
    </w:p>
    <w:p w14:paraId="5707FF41">
      <w:pPr>
        <w:pStyle w:val="9"/>
        <w:spacing w:before="0" w:beforeAutospacing="0" w:after="0" w:afterAutospacing="0" w:line="555" w:lineRule="atLeast"/>
        <w:ind w:firstLine="360" w:firstLineChars="100"/>
        <w:jc w:val="center"/>
        <w:rPr>
          <w:rFonts w:ascii="Times New Roman" w:hAnsi="Times New Roman" w:cs="Times New Roman"/>
        </w:rPr>
      </w:pPr>
      <w:r>
        <w:rPr>
          <w:rFonts w:ascii="Times New Roman" w:hAnsi="Times New Roman" w:eastAsia="黑体" w:cs="Times New Roman"/>
          <w:color w:val="333333"/>
          <w:sz w:val="36"/>
          <w:szCs w:val="36"/>
          <w:shd w:val="clear" w:color="auto" w:fill="FFFFFF"/>
        </w:rPr>
        <w:t>第一部分  部门概况</w:t>
      </w:r>
    </w:p>
    <w:p w14:paraId="35588F03">
      <w:pPr>
        <w:pStyle w:val="9"/>
        <w:spacing w:before="0" w:beforeAutospacing="0" w:after="0" w:afterAutospacing="0" w:line="555" w:lineRule="atLeast"/>
        <w:ind w:firstLine="645"/>
        <w:jc w:val="both"/>
        <w:rPr>
          <w:rFonts w:ascii="Times New Roman" w:hAnsi="Times New Roman" w:eastAsia="黑体" w:cs="Times New Roman"/>
          <w:color w:val="333333"/>
          <w:sz w:val="31"/>
          <w:szCs w:val="31"/>
          <w:shd w:val="clear" w:color="auto" w:fill="FFFFFF"/>
        </w:rPr>
      </w:pPr>
    </w:p>
    <w:p w14:paraId="11080C04">
      <w:pPr>
        <w:pStyle w:val="9"/>
        <w:spacing w:before="0" w:beforeAutospacing="0" w:after="0" w:afterAutospacing="0" w:line="500" w:lineRule="exact"/>
        <w:ind w:firstLine="646"/>
        <w:jc w:val="both"/>
        <w:rPr>
          <w:rFonts w:ascii="Times New Roman" w:hAnsi="Times New Roman" w:cs="Times New Roman"/>
          <w:sz w:val="32"/>
          <w:szCs w:val="32"/>
        </w:rPr>
      </w:pPr>
      <w:r>
        <w:rPr>
          <w:rFonts w:ascii="Times New Roman" w:hAnsi="Times New Roman" w:eastAsia="黑体" w:cs="Times New Roman"/>
          <w:color w:val="333333"/>
          <w:sz w:val="32"/>
          <w:szCs w:val="32"/>
          <w:shd w:val="clear" w:color="auto" w:fill="FFFFFF"/>
        </w:rPr>
        <w:t>一、</w:t>
      </w:r>
      <w:r>
        <w:rPr>
          <w:rFonts w:hint="eastAsia" w:ascii="Times New Roman" w:hAnsi="Times New Roman" w:eastAsia="黑体" w:cs="Times New Roman"/>
          <w:color w:val="333333"/>
          <w:sz w:val="32"/>
          <w:szCs w:val="32"/>
          <w:shd w:val="clear" w:color="auto" w:fill="FFFFFF"/>
        </w:rPr>
        <w:t>主要</w:t>
      </w:r>
      <w:r>
        <w:rPr>
          <w:rFonts w:ascii="Times New Roman" w:hAnsi="Times New Roman" w:eastAsia="黑体" w:cs="Times New Roman"/>
          <w:color w:val="333333"/>
          <w:sz w:val="32"/>
          <w:szCs w:val="32"/>
          <w:shd w:val="clear" w:color="auto" w:fill="FFFFFF"/>
        </w:rPr>
        <w:t>职责</w:t>
      </w:r>
    </w:p>
    <w:p w14:paraId="02C94C8E">
      <w:pPr>
        <w:pStyle w:val="9"/>
        <w:shd w:val="clear" w:color="auto" w:fill="FFFFFF"/>
        <w:spacing w:before="75" w:beforeAutospacing="0" w:after="75" w:afterAutospacing="0"/>
        <w:ind w:firstLine="480"/>
        <w:jc w:val="both"/>
        <w:rPr>
          <w:rFonts w:ascii="仿宋_GB2312" w:hAnsi="黑体" w:eastAsia="仿宋_GB2312"/>
          <w:bCs/>
          <w:sz w:val="32"/>
          <w:szCs w:val="32"/>
        </w:rPr>
      </w:pPr>
      <w:r>
        <w:rPr>
          <w:rFonts w:hint="eastAsia" w:ascii="仿宋_GB2312" w:hAnsi="黑体" w:eastAsia="仿宋_GB2312"/>
          <w:bCs/>
          <w:sz w:val="32"/>
          <w:szCs w:val="32"/>
        </w:rPr>
        <w:t>根据《中共黄山市委办公室 黄山市人民政府办公室关于印发市经济和信息化局等3个部门“三定”规定和黄山风景区市场监督管理局“三定”规定调整方案的通知》（办字（2019）35号文件）规定，机关行政编制23名，其中：局长1名，副局长3名，总经济师1名，科级领导职数9名（含机关党委专职副书记1名）。</w:t>
      </w:r>
    </w:p>
    <w:p w14:paraId="30E4A626">
      <w:pPr>
        <w:pStyle w:val="9"/>
        <w:shd w:val="clear" w:color="auto" w:fill="FFFFFF"/>
        <w:spacing w:before="75" w:beforeAutospacing="0" w:after="75" w:afterAutospacing="0"/>
        <w:ind w:firstLine="480"/>
        <w:jc w:val="both"/>
        <w:rPr>
          <w:rFonts w:ascii="仿宋_GB2312" w:hAnsi="黑体" w:eastAsia="仿宋_GB2312"/>
          <w:bCs/>
          <w:sz w:val="32"/>
          <w:szCs w:val="32"/>
        </w:rPr>
      </w:pPr>
      <w:r>
        <w:rPr>
          <w:rFonts w:hint="eastAsia" w:ascii="仿宋_GB2312" w:hAnsi="黑体" w:eastAsia="仿宋_GB2312"/>
          <w:bCs/>
          <w:sz w:val="32"/>
          <w:szCs w:val="32"/>
        </w:rPr>
        <w:t>市经信局主要工作职责：</w:t>
      </w:r>
    </w:p>
    <w:p w14:paraId="5DA0D0A6">
      <w:pPr>
        <w:pStyle w:val="9"/>
        <w:shd w:val="clear" w:color="auto" w:fill="FFFFFF"/>
        <w:spacing w:before="75" w:beforeAutospacing="0" w:after="75" w:afterAutospacing="0"/>
        <w:ind w:firstLine="480"/>
        <w:jc w:val="both"/>
        <w:rPr>
          <w:rFonts w:ascii="仿宋_GB2312" w:hAnsi="黑体" w:eastAsia="仿宋_GB2312"/>
          <w:bCs/>
          <w:sz w:val="32"/>
          <w:szCs w:val="32"/>
        </w:rPr>
      </w:pPr>
      <w:r>
        <w:rPr>
          <w:rFonts w:hint="eastAsia" w:ascii="仿宋_GB2312" w:hAnsi="黑体" w:eastAsia="仿宋_GB2312"/>
          <w:bCs/>
          <w:sz w:val="32"/>
          <w:szCs w:val="32"/>
        </w:rPr>
        <w:t>（一）贯彻执行国家和省有关经济、信息化的法规规章，起草相关规范性文件。拟订并组织实施经济和信息化的发展规划。推进产业结构战备性调整和优化升级，推进信息化和工业化融合发展。</w:t>
      </w:r>
    </w:p>
    <w:p w14:paraId="35CB0728">
      <w:pPr>
        <w:pStyle w:val="9"/>
        <w:shd w:val="clear" w:color="auto" w:fill="FFFFFF"/>
        <w:spacing w:before="75" w:beforeAutospacing="0" w:after="75" w:afterAutospacing="0"/>
        <w:ind w:firstLine="480"/>
        <w:jc w:val="both"/>
        <w:rPr>
          <w:rFonts w:ascii="仿宋_GB2312" w:hAnsi="黑体" w:eastAsia="仿宋_GB2312"/>
          <w:bCs/>
          <w:sz w:val="32"/>
          <w:szCs w:val="32"/>
        </w:rPr>
      </w:pPr>
      <w:r>
        <w:rPr>
          <w:rFonts w:hint="eastAsia" w:ascii="仿宋_GB2312" w:hAnsi="黑体" w:eastAsia="仿宋_GB2312"/>
          <w:bCs/>
          <w:sz w:val="32"/>
          <w:szCs w:val="32"/>
        </w:rPr>
        <w:t>（二）拟订并组织实施工业、信息化相关行业的规划、计划和产业政策，提出优化产业布局、结构的政策建议；组织实施行业技术规范与行业标准，指导行业质量管理和安全生产管理工作。</w:t>
      </w:r>
    </w:p>
    <w:p w14:paraId="6C5BF8FA">
      <w:pPr>
        <w:pStyle w:val="9"/>
        <w:shd w:val="clear" w:color="auto" w:fill="FFFFFF"/>
        <w:spacing w:before="75" w:beforeAutospacing="0" w:after="75" w:afterAutospacing="0"/>
        <w:ind w:firstLine="480"/>
        <w:jc w:val="both"/>
        <w:rPr>
          <w:rFonts w:ascii="仿宋_GB2312" w:hAnsi="黑体" w:eastAsia="仿宋_GB2312"/>
          <w:bCs/>
          <w:sz w:val="32"/>
          <w:szCs w:val="32"/>
        </w:rPr>
      </w:pPr>
      <w:r>
        <w:rPr>
          <w:rFonts w:hint="eastAsia" w:ascii="仿宋_GB2312" w:hAnsi="黑体" w:eastAsia="仿宋_GB2312"/>
          <w:bCs/>
          <w:sz w:val="32"/>
          <w:szCs w:val="32"/>
        </w:rPr>
        <w:t>（三）监测研判经济运行态势，收集、整理、分析和发布经济信息，提出相关政策建议，协调经济运行中的重大问题。承担工业、信息化相关行业应急管理、产业安全和国防动员大会有关工作。</w:t>
      </w:r>
    </w:p>
    <w:p w14:paraId="7434D5F6">
      <w:pPr>
        <w:pStyle w:val="9"/>
        <w:shd w:val="clear" w:color="auto" w:fill="FFFFFF"/>
        <w:spacing w:before="75" w:beforeAutospacing="0" w:after="75" w:afterAutospacing="0"/>
        <w:ind w:firstLine="480"/>
        <w:jc w:val="both"/>
        <w:rPr>
          <w:rFonts w:ascii="仿宋_GB2312" w:hAnsi="黑体" w:eastAsia="仿宋_GB2312"/>
          <w:bCs/>
          <w:sz w:val="32"/>
          <w:szCs w:val="32"/>
        </w:rPr>
      </w:pPr>
      <w:r>
        <w:rPr>
          <w:rFonts w:hint="eastAsia" w:ascii="仿宋_GB2312" w:hAnsi="黑体" w:eastAsia="仿宋_GB2312"/>
          <w:bCs/>
          <w:sz w:val="32"/>
          <w:szCs w:val="32"/>
        </w:rPr>
        <w:t>（四）负责提出工业、信息化技术改造投资规模和方向的建议。按照规定权限，报批、备案国家、省和市规划内年度计划规模内工业和信息化固定投资项目。</w:t>
      </w:r>
    </w:p>
    <w:p w14:paraId="22B4554E">
      <w:pPr>
        <w:pStyle w:val="9"/>
        <w:shd w:val="clear" w:color="auto" w:fill="FFFFFF"/>
        <w:spacing w:before="75" w:beforeAutospacing="0" w:after="75" w:afterAutospacing="0"/>
        <w:ind w:firstLine="480"/>
        <w:jc w:val="both"/>
        <w:rPr>
          <w:rFonts w:ascii="仿宋_GB2312" w:hAnsi="黑体" w:eastAsia="仿宋_GB2312"/>
          <w:bCs/>
          <w:sz w:val="32"/>
          <w:szCs w:val="32"/>
        </w:rPr>
      </w:pPr>
      <w:r>
        <w:rPr>
          <w:rFonts w:hint="eastAsia" w:ascii="仿宋_GB2312" w:hAnsi="黑体" w:eastAsia="仿宋_GB2312"/>
          <w:bCs/>
          <w:sz w:val="32"/>
          <w:szCs w:val="32"/>
        </w:rPr>
        <w:t>（五）指导工业和信息领域技术创新、技术进步，推动企业创新、技术进步、技术引进和重大技术装备研制，推进高新技术与传统工业改造结合。推动产学研联合和相关科研成果产业化。</w:t>
      </w:r>
    </w:p>
    <w:p w14:paraId="38E8D223">
      <w:pPr>
        <w:pStyle w:val="9"/>
        <w:shd w:val="clear" w:color="auto" w:fill="FFFFFF"/>
        <w:spacing w:before="75" w:beforeAutospacing="0" w:after="75" w:afterAutospacing="0"/>
        <w:ind w:firstLine="480"/>
        <w:jc w:val="both"/>
        <w:rPr>
          <w:rFonts w:ascii="仿宋_GB2312" w:hAnsi="黑体" w:eastAsia="仿宋_GB2312"/>
          <w:bCs/>
          <w:sz w:val="32"/>
          <w:szCs w:val="32"/>
        </w:rPr>
      </w:pPr>
      <w:r>
        <w:rPr>
          <w:rFonts w:hint="eastAsia" w:ascii="仿宋_GB2312" w:hAnsi="黑体" w:eastAsia="仿宋_GB2312"/>
          <w:bCs/>
          <w:sz w:val="32"/>
          <w:szCs w:val="32"/>
        </w:rPr>
        <w:t>（六）组织实施工业、信息化相关产业的能源节约、资源综合利用、清洁生产促进政策。参与拟订能源节约和资源综合利用、清洁生产促进规划。组织协调相关示范工程和新产品、新技术、新设备、新材料的推广应用。指导和协调工业环境保护和节能环保产业发展，推进绿色制造。</w:t>
      </w:r>
    </w:p>
    <w:p w14:paraId="3EA48240">
      <w:pPr>
        <w:pStyle w:val="9"/>
        <w:shd w:val="clear" w:color="auto" w:fill="FFFFFF"/>
        <w:spacing w:before="75" w:beforeAutospacing="0" w:after="75" w:afterAutospacing="0"/>
        <w:ind w:firstLine="480"/>
        <w:jc w:val="both"/>
        <w:rPr>
          <w:rFonts w:ascii="仿宋_GB2312" w:hAnsi="黑体" w:eastAsia="仿宋_GB2312"/>
          <w:bCs/>
          <w:sz w:val="32"/>
          <w:szCs w:val="32"/>
        </w:rPr>
      </w:pPr>
      <w:r>
        <w:rPr>
          <w:rFonts w:hint="eastAsia" w:ascii="仿宋_GB2312" w:hAnsi="黑体" w:eastAsia="仿宋_GB2312"/>
          <w:bCs/>
          <w:sz w:val="32"/>
          <w:szCs w:val="32"/>
        </w:rPr>
        <w:t>（七）负责非煤矿山行业管理，指导监督非煤矿山标准化建设和安全生产管理工作。</w:t>
      </w:r>
    </w:p>
    <w:p w14:paraId="2A0A43CE">
      <w:pPr>
        <w:pStyle w:val="9"/>
        <w:shd w:val="clear" w:color="auto" w:fill="FFFFFF"/>
        <w:spacing w:before="0" w:beforeAutospacing="0" w:after="0" w:afterAutospacing="0"/>
        <w:ind w:firstLine="480"/>
        <w:jc w:val="both"/>
        <w:rPr>
          <w:rFonts w:ascii="仿宋_GB2312" w:hAnsi="黑体" w:eastAsia="仿宋_GB2312"/>
          <w:bCs/>
          <w:sz w:val="32"/>
          <w:szCs w:val="32"/>
        </w:rPr>
      </w:pPr>
      <w:r>
        <w:rPr>
          <w:rFonts w:hint="eastAsia" w:ascii="仿宋_GB2312" w:hAnsi="黑体" w:eastAsia="仿宋_GB2312"/>
          <w:bCs/>
          <w:sz w:val="32"/>
          <w:szCs w:val="32"/>
        </w:rPr>
        <w:t>（八）负责全市民用爆炸物品行业管理及生产、销售的安全监督管理。负责全市盐业行业管理工作。</w:t>
      </w:r>
    </w:p>
    <w:p w14:paraId="62A11101">
      <w:pPr>
        <w:pStyle w:val="9"/>
        <w:shd w:val="clear" w:color="auto" w:fill="FFFFFF"/>
        <w:spacing w:before="75" w:beforeAutospacing="0" w:after="75" w:afterAutospacing="0"/>
        <w:ind w:firstLine="480"/>
        <w:jc w:val="both"/>
        <w:rPr>
          <w:rFonts w:ascii="仿宋_GB2312" w:hAnsi="黑体" w:eastAsia="仿宋_GB2312"/>
          <w:bCs/>
          <w:sz w:val="32"/>
          <w:szCs w:val="32"/>
        </w:rPr>
      </w:pPr>
      <w:r>
        <w:rPr>
          <w:rFonts w:hint="eastAsia" w:ascii="仿宋_GB2312" w:hAnsi="黑体" w:eastAsia="仿宋_GB2312"/>
          <w:bCs/>
          <w:sz w:val="32"/>
          <w:szCs w:val="32"/>
        </w:rPr>
        <w:t>（九）负责中小企业和民营经济发展的指导、协调和服务，贯彻落实促进中小企业和民营经济发展政策措施，协调解决有关重大问题。</w:t>
      </w:r>
    </w:p>
    <w:p w14:paraId="72DC230A">
      <w:pPr>
        <w:pStyle w:val="9"/>
        <w:shd w:val="clear" w:color="auto" w:fill="FFFFFF"/>
        <w:spacing w:before="75" w:beforeAutospacing="0" w:after="75" w:afterAutospacing="0"/>
        <w:ind w:firstLine="480"/>
        <w:jc w:val="both"/>
        <w:rPr>
          <w:rFonts w:ascii="仿宋_GB2312" w:hAnsi="黑体" w:eastAsia="仿宋_GB2312"/>
          <w:bCs/>
          <w:sz w:val="32"/>
          <w:szCs w:val="32"/>
        </w:rPr>
      </w:pPr>
      <w:r>
        <w:rPr>
          <w:rFonts w:hint="eastAsia" w:ascii="仿宋_GB2312" w:hAnsi="黑体" w:eastAsia="仿宋_GB2312"/>
          <w:bCs/>
          <w:sz w:val="32"/>
          <w:szCs w:val="32"/>
        </w:rPr>
        <w:t>（十）统筹推进全市工业领域信息化发展和信息安全保障工作，贯彻落实相关政策措施并组织协调重大问题。负责推进电子信息产品制造业、软件和信息服务业等信息技术产业发展，促进通信网、广播电视网和计算机网融合发展。</w:t>
      </w:r>
    </w:p>
    <w:p w14:paraId="03A75CA7">
      <w:pPr>
        <w:pStyle w:val="9"/>
        <w:shd w:val="clear" w:color="auto" w:fill="FFFFFF"/>
        <w:spacing w:before="75" w:beforeAutospacing="0" w:after="75" w:afterAutospacing="0"/>
        <w:ind w:firstLine="480"/>
        <w:jc w:val="both"/>
        <w:rPr>
          <w:rFonts w:ascii="仿宋_GB2312" w:hAnsi="黑体" w:eastAsia="仿宋_GB2312"/>
          <w:bCs/>
          <w:sz w:val="32"/>
          <w:szCs w:val="32"/>
        </w:rPr>
      </w:pPr>
      <w:r>
        <w:rPr>
          <w:rFonts w:hint="eastAsia" w:ascii="仿宋_GB2312" w:hAnsi="黑体" w:eastAsia="仿宋_GB2312"/>
          <w:bCs/>
          <w:sz w:val="32"/>
          <w:szCs w:val="32"/>
        </w:rPr>
        <w:t>（十一）研究拟订全市工业企业经营管理人员的培训规划和年度培训计划并组织实施，指导工业企业开展职工教育培训。指导民营工业企业党建工作。</w:t>
      </w:r>
    </w:p>
    <w:p w14:paraId="2D975B25">
      <w:pPr>
        <w:pStyle w:val="9"/>
        <w:spacing w:before="0" w:beforeAutospacing="0" w:after="0" w:afterAutospacing="0"/>
        <w:ind w:firstLine="646"/>
        <w:jc w:val="both"/>
        <w:rPr>
          <w:rFonts w:ascii="仿宋_GB2312" w:hAnsi="黑体" w:eastAsia="仿宋_GB2312"/>
          <w:bCs/>
          <w:sz w:val="32"/>
          <w:szCs w:val="32"/>
        </w:rPr>
      </w:pPr>
      <w:r>
        <w:rPr>
          <w:rFonts w:hint="eastAsia" w:ascii="仿宋_GB2312" w:hAnsi="黑体" w:eastAsia="仿宋_GB2312"/>
          <w:bCs/>
          <w:sz w:val="32"/>
          <w:szCs w:val="32"/>
        </w:rPr>
        <w:t>（十二）完成市委、市政府交办的其他任务。</w:t>
      </w:r>
    </w:p>
    <w:p w14:paraId="2E04861C">
      <w:pPr>
        <w:pStyle w:val="9"/>
        <w:tabs>
          <w:tab w:val="right" w:pos="8691"/>
        </w:tabs>
        <w:adjustRightInd w:val="0"/>
        <w:snapToGrid w:val="0"/>
        <w:spacing w:before="0" w:beforeAutospacing="0" w:after="0" w:afterAutospacing="0" w:line="360" w:lineRule="auto"/>
        <w:ind w:firstLine="627" w:firstLineChars="196"/>
        <w:jc w:val="both"/>
        <w:rPr>
          <w:rFonts w:ascii="Times New Roman" w:hAnsi="Times New Roman" w:cs="Times New Roman"/>
          <w:sz w:val="32"/>
          <w:szCs w:val="32"/>
        </w:rPr>
      </w:pPr>
      <w:r>
        <w:rPr>
          <w:rFonts w:ascii="Times New Roman" w:hAnsi="Times New Roman" w:eastAsia="黑体" w:cs="Times New Roman"/>
          <w:color w:val="333333"/>
          <w:sz w:val="32"/>
          <w:szCs w:val="32"/>
          <w:shd w:val="clear" w:color="auto" w:fill="FFFFFF"/>
        </w:rPr>
        <w:t>二、部门预算单位构成</w:t>
      </w:r>
      <w:r>
        <w:rPr>
          <w:rFonts w:ascii="黑体" w:hAnsi="黑体" w:eastAsia="黑体"/>
          <w:bCs/>
          <w:color w:val="FF0000"/>
          <w:sz w:val="32"/>
          <w:szCs w:val="32"/>
        </w:rPr>
        <w:tab/>
      </w:r>
    </w:p>
    <w:p w14:paraId="2395CAB0">
      <w:pPr>
        <w:pStyle w:val="17"/>
        <w:rPr>
          <w:shd w:val="clear" w:color="auto" w:fill="FFFFFF"/>
        </w:rPr>
      </w:pPr>
      <w:r>
        <w:rPr>
          <w:shd w:val="clear" w:color="auto" w:fill="FFFFFF"/>
        </w:rPr>
        <w:t>黄山市</w:t>
      </w:r>
      <w:r>
        <w:rPr>
          <w:rFonts w:hint="eastAsia"/>
          <w:shd w:val="clear" w:color="auto" w:fill="FFFFFF"/>
        </w:rPr>
        <w:t>经济和信息化局</w:t>
      </w:r>
      <w:r>
        <w:rPr>
          <w:shd w:val="clear" w:color="auto" w:fill="FFFFFF"/>
        </w:rPr>
        <w:t>2024年度部门预算包括局本级预算和局属单位预算，纳入部门预算编制范围的单位共</w:t>
      </w:r>
      <w:r>
        <w:rPr>
          <w:rFonts w:hint="eastAsia" w:ascii="仿宋" w:hAnsi="仿宋" w:eastAsia="仿宋"/>
        </w:rPr>
        <w:t>1</w:t>
      </w:r>
      <w:r>
        <w:rPr>
          <w:shd w:val="clear" w:color="auto" w:fill="FFFFFF"/>
        </w:rPr>
        <w:t>个，具体情况见下表。</w:t>
      </w:r>
    </w:p>
    <w:p w14:paraId="08D96EDA">
      <w:pPr>
        <w:pStyle w:val="9"/>
        <w:spacing w:before="0" w:beforeAutospacing="0" w:after="0" w:afterAutospacing="0" w:line="500" w:lineRule="exact"/>
        <w:jc w:val="both"/>
        <w:rPr>
          <w:rFonts w:ascii="Times New Roman" w:hAnsi="Times New Roman" w:eastAsia="仿宋_GB2312" w:cs="Times New Roman"/>
          <w:color w:val="333333"/>
          <w:sz w:val="31"/>
          <w:szCs w:val="31"/>
          <w:shd w:val="clear" w:color="auto" w:fill="FFFFFF"/>
        </w:rPr>
      </w:pPr>
    </w:p>
    <w:tbl>
      <w:tblPr>
        <w:tblStyle w:val="10"/>
        <w:tblW w:w="0" w:type="auto"/>
        <w:tblInd w:w="235" w:type="dxa"/>
        <w:shd w:val="clear" w:color="auto" w:fill="FFFFFF"/>
        <w:tblLayout w:type="fixed"/>
        <w:tblCellMar>
          <w:top w:w="0" w:type="dxa"/>
          <w:left w:w="0" w:type="dxa"/>
          <w:bottom w:w="0" w:type="dxa"/>
          <w:right w:w="0" w:type="dxa"/>
        </w:tblCellMar>
      </w:tblPr>
      <w:tblGrid>
        <w:gridCol w:w="728"/>
        <w:gridCol w:w="2695"/>
        <w:gridCol w:w="2625"/>
        <w:gridCol w:w="2618"/>
      </w:tblGrid>
      <w:tr w14:paraId="39714A01">
        <w:tblPrEx>
          <w:shd w:val="clear" w:color="auto" w:fill="FFFFFF"/>
          <w:tblCellMar>
            <w:top w:w="0" w:type="dxa"/>
            <w:left w:w="0" w:type="dxa"/>
            <w:bottom w:w="0" w:type="dxa"/>
            <w:right w:w="0" w:type="dxa"/>
          </w:tblCellMar>
        </w:tblPrEx>
        <w:trPr>
          <w:trHeight w:val="390" w:hRule="atLeast"/>
        </w:trPr>
        <w:tc>
          <w:tcPr>
            <w:tcW w:w="728" w:type="dxa"/>
            <w:tcBorders>
              <w:top w:val="single" w:color="000000" w:sz="6" w:space="0"/>
              <w:left w:val="single" w:color="000000" w:sz="6" w:space="0"/>
              <w:bottom w:val="single" w:color="000000" w:sz="6" w:space="0"/>
              <w:right w:val="single" w:color="000000" w:sz="6" w:space="0"/>
            </w:tcBorders>
            <w:shd w:val="clear" w:color="auto" w:fill="FFFFFF"/>
            <w:noWrap/>
            <w:tcMar>
              <w:left w:w="105" w:type="dxa"/>
              <w:bottom w:w="0" w:type="dxa"/>
              <w:right w:w="105" w:type="dxa"/>
            </w:tcMar>
            <w:vAlign w:val="center"/>
          </w:tcPr>
          <w:p w14:paraId="6341ABAC">
            <w:pPr>
              <w:pStyle w:val="9"/>
              <w:spacing w:before="0" w:beforeAutospacing="0" w:after="0" w:afterAutospacing="0" w:line="360" w:lineRule="atLeast"/>
              <w:jc w:val="center"/>
              <w:rPr>
                <w:rFonts w:ascii="仿宋_GB2312" w:hAnsi="Times New Roman" w:eastAsia="仿宋_GB2312" w:cs="Times New Roman"/>
              </w:rPr>
            </w:pPr>
            <w:r>
              <w:rPr>
                <w:rFonts w:hint="eastAsia" w:ascii="仿宋_GB2312" w:hAnsi="Times New Roman" w:eastAsia="仿宋_GB2312" w:cs="Times New Roman"/>
              </w:rPr>
              <w:t>序号</w:t>
            </w:r>
          </w:p>
        </w:tc>
        <w:tc>
          <w:tcPr>
            <w:tcW w:w="2695" w:type="dxa"/>
            <w:tcBorders>
              <w:top w:val="single" w:color="000000" w:sz="6" w:space="0"/>
              <w:left w:val="nil"/>
              <w:bottom w:val="single" w:color="000000" w:sz="6" w:space="0"/>
              <w:right w:val="single" w:color="000000" w:sz="6" w:space="0"/>
            </w:tcBorders>
            <w:shd w:val="clear" w:color="auto" w:fill="FFFFFF"/>
            <w:noWrap/>
            <w:tcMar>
              <w:left w:w="105" w:type="dxa"/>
              <w:bottom w:w="0" w:type="dxa"/>
              <w:right w:w="105" w:type="dxa"/>
            </w:tcMar>
            <w:vAlign w:val="center"/>
          </w:tcPr>
          <w:p w14:paraId="661DAFF2">
            <w:pPr>
              <w:pStyle w:val="9"/>
              <w:spacing w:before="0" w:beforeAutospacing="0" w:after="0" w:afterAutospacing="0" w:line="360" w:lineRule="atLeast"/>
              <w:jc w:val="center"/>
              <w:rPr>
                <w:rFonts w:ascii="仿宋_GB2312" w:hAnsi="Times New Roman" w:eastAsia="仿宋_GB2312" w:cs="Times New Roman"/>
              </w:rPr>
            </w:pPr>
            <w:r>
              <w:rPr>
                <w:rFonts w:hint="eastAsia" w:ascii="仿宋_GB2312" w:hAnsi="Times New Roman" w:eastAsia="仿宋_GB2312" w:cs="Times New Roman"/>
              </w:rPr>
              <w:t>单位名称</w:t>
            </w:r>
          </w:p>
        </w:tc>
        <w:tc>
          <w:tcPr>
            <w:tcW w:w="2625" w:type="dxa"/>
            <w:tcBorders>
              <w:top w:val="single" w:color="000000" w:sz="6" w:space="0"/>
              <w:left w:val="nil"/>
              <w:bottom w:val="single" w:color="000000" w:sz="6" w:space="0"/>
              <w:right w:val="single" w:color="000000" w:sz="6" w:space="0"/>
            </w:tcBorders>
            <w:shd w:val="clear" w:color="auto" w:fill="FFFFFF"/>
            <w:noWrap/>
            <w:tcMar>
              <w:left w:w="0" w:type="dxa"/>
              <w:bottom w:w="0" w:type="dxa"/>
              <w:right w:w="0" w:type="dxa"/>
            </w:tcMar>
          </w:tcPr>
          <w:p w14:paraId="5B0D6F0F">
            <w:pPr>
              <w:pStyle w:val="9"/>
              <w:spacing w:before="0" w:beforeAutospacing="0" w:after="0" w:afterAutospacing="0" w:line="360" w:lineRule="atLeast"/>
              <w:jc w:val="center"/>
              <w:rPr>
                <w:rFonts w:ascii="仿宋_GB2312" w:hAnsi="Times New Roman" w:eastAsia="仿宋_GB2312" w:cs="Times New Roman"/>
              </w:rPr>
            </w:pPr>
            <w:r>
              <w:rPr>
                <w:rFonts w:hint="eastAsia" w:ascii="仿宋_GB2312" w:hAnsi="Times New Roman" w:eastAsia="仿宋_GB2312" w:cs="Times New Roman"/>
              </w:rPr>
              <w:t>单位性质</w:t>
            </w:r>
          </w:p>
        </w:tc>
        <w:tc>
          <w:tcPr>
            <w:tcW w:w="2618" w:type="dxa"/>
            <w:tcBorders>
              <w:top w:val="single" w:color="000000" w:sz="6" w:space="0"/>
              <w:left w:val="nil"/>
              <w:bottom w:val="single" w:color="000000" w:sz="6" w:space="0"/>
              <w:right w:val="single" w:color="000000" w:sz="6" w:space="0"/>
            </w:tcBorders>
            <w:shd w:val="clear" w:color="auto" w:fill="FFFFFF"/>
            <w:noWrap/>
            <w:tcMar>
              <w:left w:w="105" w:type="dxa"/>
              <w:right w:w="105" w:type="dxa"/>
            </w:tcMar>
          </w:tcPr>
          <w:p w14:paraId="201104EA">
            <w:pPr>
              <w:pStyle w:val="9"/>
              <w:spacing w:before="0" w:beforeAutospacing="0" w:after="0" w:afterAutospacing="0" w:line="360" w:lineRule="atLeast"/>
              <w:jc w:val="center"/>
              <w:rPr>
                <w:rFonts w:ascii="仿宋_GB2312" w:hAnsi="Times New Roman" w:eastAsia="仿宋_GB2312" w:cs="Times New Roman"/>
              </w:rPr>
            </w:pPr>
            <w:r>
              <w:rPr>
                <w:rFonts w:hint="eastAsia" w:ascii="仿宋_GB2312" w:hAnsi="Times New Roman" w:eastAsia="仿宋_GB2312" w:cs="Times New Roman"/>
              </w:rPr>
              <w:t>备注</w:t>
            </w:r>
          </w:p>
        </w:tc>
      </w:tr>
      <w:tr w14:paraId="165F42A1">
        <w:tblPrEx>
          <w:tblCellMar>
            <w:top w:w="0" w:type="dxa"/>
            <w:left w:w="0" w:type="dxa"/>
            <w:bottom w:w="0" w:type="dxa"/>
            <w:right w:w="0" w:type="dxa"/>
          </w:tblCellMar>
        </w:tblPrEx>
        <w:trPr>
          <w:trHeight w:val="465" w:hRule="atLeast"/>
        </w:trPr>
        <w:tc>
          <w:tcPr>
            <w:tcW w:w="728" w:type="dxa"/>
            <w:tcBorders>
              <w:top w:val="nil"/>
              <w:left w:val="single" w:color="000000" w:sz="6" w:space="0"/>
              <w:bottom w:val="single" w:color="000000" w:sz="6" w:space="0"/>
              <w:right w:val="single" w:color="000000" w:sz="6" w:space="0"/>
            </w:tcBorders>
            <w:shd w:val="clear" w:color="auto" w:fill="FFFFFF"/>
            <w:noWrap/>
            <w:tcMar>
              <w:left w:w="105" w:type="dxa"/>
              <w:bottom w:w="0" w:type="dxa"/>
              <w:right w:w="105" w:type="dxa"/>
            </w:tcMar>
            <w:vAlign w:val="center"/>
          </w:tcPr>
          <w:p w14:paraId="61917E6B">
            <w:pPr>
              <w:pStyle w:val="9"/>
              <w:spacing w:before="0" w:beforeAutospacing="0" w:after="0" w:afterAutospacing="0" w:line="360" w:lineRule="atLeast"/>
              <w:jc w:val="center"/>
              <w:rPr>
                <w:rFonts w:ascii="仿宋_GB2312" w:hAnsi="Times New Roman" w:eastAsia="仿宋_GB2312" w:cs="Times New Roman"/>
              </w:rPr>
            </w:pPr>
            <w:r>
              <w:rPr>
                <w:rFonts w:hint="eastAsia" w:ascii="仿宋_GB2312" w:hAnsi="Times New Roman" w:eastAsia="仿宋_GB2312" w:cs="Times New Roman"/>
              </w:rPr>
              <w:t>1</w:t>
            </w:r>
          </w:p>
        </w:tc>
        <w:tc>
          <w:tcPr>
            <w:tcW w:w="2695" w:type="dxa"/>
            <w:tcBorders>
              <w:top w:val="nil"/>
              <w:left w:val="nil"/>
              <w:bottom w:val="single" w:color="000000" w:sz="6" w:space="0"/>
              <w:right w:val="single" w:color="000000" w:sz="6" w:space="0"/>
            </w:tcBorders>
            <w:shd w:val="clear" w:color="auto" w:fill="FFFFFF"/>
            <w:noWrap/>
            <w:tcMar>
              <w:left w:w="105" w:type="dxa"/>
              <w:bottom w:w="0" w:type="dxa"/>
              <w:right w:w="105" w:type="dxa"/>
            </w:tcMar>
            <w:vAlign w:val="center"/>
          </w:tcPr>
          <w:p w14:paraId="1EFA2EE6">
            <w:pPr>
              <w:pStyle w:val="9"/>
              <w:spacing w:before="0" w:beforeAutospacing="0" w:after="0" w:afterAutospacing="0" w:line="360" w:lineRule="atLeast"/>
              <w:rPr>
                <w:rFonts w:ascii="仿宋_GB2312" w:hAnsi="Times New Roman" w:eastAsia="仿宋_GB2312" w:cs="Times New Roman"/>
              </w:rPr>
            </w:pPr>
            <w:r>
              <w:rPr>
                <w:rFonts w:hint="eastAsia" w:ascii="仿宋_GB2312" w:hAnsi="Times New Roman" w:eastAsia="仿宋_GB2312" w:cs="Times New Roman"/>
              </w:rPr>
              <w:t>黄山市经济和信息化局本级</w:t>
            </w:r>
          </w:p>
        </w:tc>
        <w:tc>
          <w:tcPr>
            <w:tcW w:w="2625" w:type="dxa"/>
            <w:tcBorders>
              <w:top w:val="nil"/>
              <w:left w:val="nil"/>
              <w:bottom w:val="single" w:color="000000" w:sz="6" w:space="0"/>
              <w:right w:val="single" w:color="000000" w:sz="6" w:space="0"/>
            </w:tcBorders>
            <w:shd w:val="clear" w:color="auto" w:fill="FFFFFF"/>
            <w:noWrap/>
            <w:tcMar>
              <w:left w:w="0" w:type="dxa"/>
              <w:bottom w:w="0" w:type="dxa"/>
              <w:right w:w="0" w:type="dxa"/>
            </w:tcMar>
          </w:tcPr>
          <w:p w14:paraId="1EC90E7C">
            <w:pPr>
              <w:pStyle w:val="9"/>
              <w:spacing w:before="0" w:beforeAutospacing="0" w:after="0" w:afterAutospacing="0" w:line="360" w:lineRule="atLeast"/>
              <w:rPr>
                <w:rFonts w:ascii="仿宋_GB2312" w:hAnsi="Times New Roman" w:eastAsia="仿宋_GB2312" w:cs="Times New Roman"/>
              </w:rPr>
            </w:pPr>
            <w:r>
              <w:rPr>
                <w:rFonts w:hint="eastAsia" w:ascii="仿宋_GB2312" w:hAnsi="Times New Roman" w:eastAsia="仿宋_GB2312" w:cs="Times New Roman"/>
              </w:rPr>
              <w:t>行政单位</w:t>
            </w:r>
          </w:p>
        </w:tc>
        <w:tc>
          <w:tcPr>
            <w:tcW w:w="2618" w:type="dxa"/>
            <w:tcBorders>
              <w:top w:val="nil"/>
              <w:left w:val="nil"/>
              <w:bottom w:val="single" w:color="000000" w:sz="6" w:space="0"/>
              <w:right w:val="single" w:color="000000" w:sz="6" w:space="0"/>
            </w:tcBorders>
            <w:shd w:val="clear" w:color="auto" w:fill="FFFFFF"/>
            <w:noWrap/>
            <w:tcMar>
              <w:left w:w="105" w:type="dxa"/>
              <w:right w:w="105" w:type="dxa"/>
            </w:tcMar>
          </w:tcPr>
          <w:p w14:paraId="18770320">
            <w:pPr>
              <w:pStyle w:val="9"/>
              <w:spacing w:before="0" w:beforeAutospacing="0" w:after="0" w:afterAutospacing="0" w:line="360" w:lineRule="atLeast"/>
              <w:rPr>
                <w:rFonts w:ascii="仿宋_GB2312" w:hAnsi="Times New Roman" w:eastAsia="仿宋_GB2312" w:cs="Times New Roman"/>
              </w:rPr>
            </w:pPr>
          </w:p>
        </w:tc>
      </w:tr>
    </w:tbl>
    <w:p w14:paraId="0B8601F0">
      <w:pPr>
        <w:pStyle w:val="17"/>
        <w:rPr>
          <w:color w:val="333333"/>
          <w:shd w:val="clear" w:color="auto" w:fill="FFFFFF"/>
        </w:rPr>
      </w:pPr>
      <w:r>
        <w:rPr>
          <w:shd w:val="clear" w:color="auto" w:fill="FFFFFF"/>
        </w:rPr>
        <w:t>机构改革职能变化：截至202</w:t>
      </w:r>
      <w:r>
        <w:rPr>
          <w:rFonts w:hint="eastAsia"/>
          <w:shd w:val="clear" w:color="auto" w:fill="FFFFFF"/>
        </w:rPr>
        <w:t>3</w:t>
      </w:r>
      <w:r>
        <w:rPr>
          <w:shd w:val="clear" w:color="auto" w:fill="FFFFFF"/>
        </w:rPr>
        <w:t>年12月31日，黄山市经济和信息化局</w:t>
      </w:r>
      <w:r>
        <w:rPr>
          <w:rFonts w:hint="eastAsia"/>
          <w:sz w:val="31"/>
          <w:szCs w:val="31"/>
          <w:shd w:val="clear" w:color="auto" w:fill="FFFFFF"/>
        </w:rPr>
        <w:t>64人，其中在职25人、离休1人、退休38人。</w:t>
      </w:r>
    </w:p>
    <w:p w14:paraId="3E1E2BAD">
      <w:pPr>
        <w:pStyle w:val="9"/>
        <w:spacing w:before="0" w:beforeAutospacing="0" w:after="0" w:afterAutospacing="0" w:line="500" w:lineRule="exact"/>
        <w:ind w:firstLine="646"/>
        <w:jc w:val="both"/>
        <w:rPr>
          <w:rFonts w:ascii="黑体" w:hAnsi="黑体" w:eastAsia="黑体" w:cs="Times New Roman"/>
          <w:sz w:val="32"/>
          <w:szCs w:val="32"/>
          <w:shd w:val="clear" w:color="auto" w:fill="FFFFFF"/>
        </w:rPr>
      </w:pPr>
      <w:r>
        <w:rPr>
          <w:rFonts w:ascii="黑体" w:hAnsi="黑体" w:eastAsia="黑体" w:cs="Times New Roman"/>
          <w:sz w:val="32"/>
          <w:szCs w:val="32"/>
          <w:shd w:val="clear" w:color="auto" w:fill="FFFFFF"/>
        </w:rPr>
        <w:t>三、2024年度主要工作任务</w:t>
      </w:r>
    </w:p>
    <w:p w14:paraId="1DD0E04F">
      <w:pPr>
        <w:pStyle w:val="17"/>
        <w:numPr>
          <w:ilvl w:val="0"/>
          <w:numId w:val="1"/>
        </w:numPr>
      </w:pPr>
      <w:r>
        <w:rPr>
          <w:rFonts w:hint="eastAsia"/>
        </w:rPr>
        <w:t>突出目标导向，在工业稳增长上求突破。坚持稳字当头、以进促稳、先立后破，加强运行调度，增强和巩固全市工业回升向好态势。一是实施“五个一批”行动。印发《关于进一步深入推进“五个一批”行动工作方案的通知》《关于报送2024年“五个一批”项目库的通知》，开展“五个一批”工作提升年建设，围绕制造业提质扩量增效，全面做好“五个一批”工作谋划落实。二是推进亩均论英雄改革。贯彻落实《深化“亩均论英雄”改革促进制造业高质量发展意见》,健全以质量效益、科技创新、绿色低碳为导向的评价体系，依法依规落实用地、用能、创新要素与亩均效益绩效挂钩政策，力争规上工业亩均税收增长8%。三是细化目标任务分解。按照全年规上工业增加值增长8%以上及一季度规上工业增加值增长10%的目标任务，按照季度、半年、全年分解目标任务至各区县和黄山高新区，压实区县发展主体责任。四是强化入规培育。更新完善规上工业企业入规培育库，持续开展小微企业、新建企业产值、收入、税收、项目建设等情况摸排，力争全年新增规上工业45户以上及规上工业企业突破600户，为全年工业经济增添更多增长点。五是优化运行调度。持续落实分级分层工业经济运行和重大项目工作调度推进机制，完善月通报、季评价、年考评制度，提升运行调度工作的整体性和协同性。</w:t>
      </w:r>
    </w:p>
    <w:p w14:paraId="17F35993">
      <w:pPr>
        <w:pStyle w:val="17"/>
      </w:pPr>
      <w:r>
        <w:rPr>
          <w:rFonts w:hint="eastAsia"/>
        </w:rPr>
        <w:t>（二）突出集群发展，在加快建设先进制造业体系上求突破。坚持改造升级传统产业和培育壮大新兴产业并重，以培育先进制造业集群为牵引，加快培育形成汽车电子及装备制造、新材料和绿色软包装、绿色食品3个200亿元产业，力争规上工业总产值突破600亿元。一是壮大优势产业集群。瞄准汽车电子及装备制造业、新材料、绿色食品加工等优势产业，坚持以龙头骨干企业为核心，以专业化分工和产业化协作为纽带，上下联动，多方联合，由单纯抓产品、抓企业向抓产业、抓集群、抓产业链转变，培育并形成具有黄山特色、具有整体竞争实力的产业集群。二是改造提升传统产业。落实“加快传统产业转型升级提升工业竞争力实施方案”，用好用足国家、省支持技术改造投资各项优惠政策，持续优化汽车零部件、新材料、绿色食品、纺织等传统产业的行业结构、组织结构、产品结构，推动传统产业“老树发新芽”。三是大力推进专班招引。完善“双招双引”方案和路线图，市县协同精准招引投资体量大、技术含量高、市场前景好的标志性项目，力争绿色软包装和新材料（先进光伏和新型储能）、新能源汽车零部件、绿色食品（预制菜）、康养（医疗器械）4个招商小组全年招引项目新增规上工业产值有量的突破，努力提升招引项目数、投资增速等指标排名。</w:t>
      </w:r>
    </w:p>
    <w:p w14:paraId="27A5A277">
      <w:pPr>
        <w:pStyle w:val="17"/>
      </w:pPr>
      <w:r>
        <w:rPr>
          <w:rFonts w:hint="eastAsia"/>
        </w:rPr>
        <w:t>（三）突出企业主体，在提升产业科技协同创新水平上求突破。强化企业科技创新主体地位，支持创新平台建设，提升产业链供应链韧性和竞争力。一是大力培育企业创新平台。建设省级以上企业技术中心、工业设计中心等省级创新平台3家，大力实施产业基础再造和重大技术装备攻关工程，滚动实施工业强基项目、“揭榜挂帅”技术攻关、重点领域补短板产品和关键技术攻关项目。二是科技赋能锻造工业精品。大力实施增品种、提品质、创品牌“三品”战略，贯彻落实“追求卓越品质 打造工业精品行动方案”，通过创新驱动、标准引领、品质支撑和品牌赋能，打通从技术创新、成果转化、生产制造、质量管理到市场推广、品牌建设的全流程，打造工业精品矩阵。</w:t>
      </w:r>
    </w:p>
    <w:p w14:paraId="48FCFF6F">
      <w:pPr>
        <w:pStyle w:val="17"/>
      </w:pPr>
      <w:r>
        <w:rPr>
          <w:rFonts w:hint="eastAsia"/>
        </w:rPr>
        <w:t>(四）突出数实融合，在推动制造业“智改数转网联”上求突破。深入贯彻数字化转型方案及支持政策，充分发挥数字技术的放大、叠加、倍增作用，加快推进产业数字化、数字产业化。一是推进软件产业园建设。完善软件园软硬件设施和配套服务，鼓励软件产业创业创新和企业集聚，大力实施“双招双引”。全年黄山软件园新增入驻软件和信息技术服务企业10家以上、国家高新技术企业2家以上，推动形成软件产业集聚发展的新格局。二是提升数智赋能质效。聚焦“智改数转网联”主攻方向，探索“标杆示范-重点产业链-工业园区”点线面应用推广路径，实施中小企业数字化赋能行动，依托数字化转型服务商资源池和工业互联网服务专员队伍，灵活通过集中培训、线上交流、上门服务等方式，为企业开展政策宣贯、资源对接、咨询诊断、项目指导等服务。三是增强支撑服务能力。进一步完善黄山市工业互联网平台功能，鼓励平台集聚更多数字化转型服务商，为中小企业提供“用得上、用得起、用得好”的解决方案，积极争创省级重点工业互联网平台。加快5G、千兆光网建设应用，鼓励工业企业运用新型网络技术改造提升企业内网，进一步强化通信网络对工业数字化转型的支撑作用。</w:t>
      </w:r>
    </w:p>
    <w:p w14:paraId="38E62ADD">
      <w:pPr>
        <w:pStyle w:val="17"/>
      </w:pPr>
      <w:r>
        <w:rPr>
          <w:rFonts w:hint="eastAsia"/>
        </w:rPr>
        <w:t>(五）突出集约循环，在推动工业绿色发展上求突破。坚决贯彻“双碳”战略，推动产业结构优化升级、资源高效循环利用，大力构建绿色制造体系，增强工业绿色低碳转型的内生动力。一是深入实施工业领域碳达峰行动。聚焦“双碳”目标，制定实施工业领域碳达峰实施方案，推动重点领域节能减碳。更新完善《工业企业绿色制造项目投资导向计划》，鼓励工业企业实施工业节能降碳、清洁生产、节水和废水资源化利用、资源循环利用、节能环保产业等项目，确保年度完成绿色制造项目5个以上。指导8户以上重点企业开展节能诊断服务。二是深入实施绿色制造工程。建立健全以绿色工厂、绿色园区、绿色供应链为主体的绿色制造体系，力争新认定绿色工厂2家以上。大力实施工业能效提升计划，发布重点领域能效标杆水平,争创一批国家级、省级能效、水效领跑者标杆企业。三是开展“五个一百”提升行动。推荐重点企业和项目申报节能环保“五个一百”推介目录，争取5个左右项目进入省节能环保“五个一百”推介目录，培育引进绿色制造系统解决方案供应商，提升绿色低碳技术、产品、装备和服务供给能力。</w:t>
      </w:r>
    </w:p>
    <w:p w14:paraId="49307B9E">
      <w:pPr>
        <w:pStyle w:val="17"/>
      </w:pPr>
      <w:r>
        <w:rPr>
          <w:rFonts w:hint="eastAsia"/>
        </w:rPr>
        <w:t>(六)突出引育并举,在培育更多优质企业上求突破。坚持抓大、培优、扶小、育新相结合，做大创新型中小企业“塔基”、做优专精特新企业“塔身”、做强国家级专精特新“小巨人”“塔尖”，推动中小企业融通发展。一是推动专精特新企业壮大。贯彻落实“推进专精特新中小企业高质量发展的指导意见”，梯度化培育优质中小企业，力争认定省级专精特新企业、省专精特新冠军企业、国家专精特新“小巨人”企业25家以上，继续推进“专精特新板”挂牌工作，力争新增省“专精特新板”挂牌企业2家。二是推动中小企业做强。积极组织企业参加“创客中国”安徽大赛，力争更多项目获奖;开展数字化赋能、科技成果赋智、质量标准品牌赋值“三赋”中小企业专项行动，大力培育创新型中小企业，实施单项冠军企业培育行动，力争国家制造业单项冠军企业“零”的突破,推动中小企业组团发展，引导中小企业开放场景和创新要素，围绕产业链打通供应链，围绕供应链贯通企业链，促进优势互补、融通发展。</w:t>
      </w:r>
    </w:p>
    <w:p w14:paraId="29BA9032">
      <w:pPr>
        <w:pStyle w:val="17"/>
      </w:pPr>
      <w:r>
        <w:rPr>
          <w:rFonts w:hint="eastAsia"/>
        </w:rPr>
        <w:t>(七）突出提质增效，在持续优化为企服务上求突破。贯彻落实“促进民营经济高质量发展38条”，树牢以企为本的理念，做优“联企连心，当好企业娘家人”服务品牌。一是持续开展清理拖欠民营企业中小企业账款工作。实施清欠专项行动，进一步加大清欠工作推进力度，畅通投诉渠道，加强源头治理，抓实信息披露，切实维护中小企业合法权益。二是深入开展金融支撑提能行动。实施“十行千亿万企”融资专项行动4.0版，提升全年新发放专项信贷资金，积极推广“亩均英雄贷”金融服务模式，加强金融差别化政策服务，举办 “亩均英雄贷”进园区政银企对接和签约活动。三是深入开展发展环境提升行动。配合市委市政府办好“新安茶会”,积极组织制造业企业参会，拓展和完善常态化政企沟通渠道，大力优化民营经济发展环境，高质量办理企业反映的“急难愁盼”问题，力争实现企业合理诉求全部办结、满意率持续提升；健全中小企业服务体系“一张网”，增强“黄山互联网平台”服务能力；开展优秀民营企业和企业家评选表扬，激发民营企业干事创业的激情。</w:t>
      </w:r>
    </w:p>
    <w:p w14:paraId="50FFC853">
      <w:pPr>
        <w:pStyle w:val="17"/>
      </w:pPr>
      <w:r>
        <w:rPr>
          <w:rFonts w:hint="eastAsia"/>
        </w:rPr>
        <w:t>(八)突出安全底线，在提升重点行业领域本质安全水平上求突破。以“时时放心不下”的责任感紧绷安全生产这根弦，压紧压实“三管三必须”责任，实现高质量发展和高水平安全良性互动。一是坚决遏制民爆行业生产安全事故。深入开展“双随机、一公开”检查和多部门联合检查，提升监管效能和依法行政水平。盯紧重点部位、薄弱环节、关键岗位，扎实推进民爆行业安全生产治本攻坚三年行动，加强重大隐患专项治理，提升应急处置的能力和水平。二是坚决查处纠正非煤矿山违规建设生产行为。严格非煤矿山项目源头管理，加强非煤矿山行业管理执法检查。加大非煤矿山数字化智能化改造的支持力度，创建绿色矿山。</w:t>
      </w:r>
    </w:p>
    <w:p w14:paraId="4260B380">
      <w:pPr>
        <w:pStyle w:val="17"/>
      </w:pPr>
    </w:p>
    <w:p w14:paraId="016535B1">
      <w:pPr>
        <w:pStyle w:val="9"/>
        <w:adjustRightInd w:val="0"/>
        <w:snapToGrid w:val="0"/>
        <w:spacing w:before="0" w:beforeAutospacing="0" w:after="0" w:afterAutospacing="0" w:line="360" w:lineRule="auto"/>
        <w:jc w:val="center"/>
        <w:rPr>
          <w:rFonts w:ascii="黑体" w:hAnsi="黑体" w:eastAsia="黑体" w:cs="Times New Roman"/>
          <w:color w:val="333333"/>
          <w:sz w:val="31"/>
          <w:szCs w:val="31"/>
          <w:shd w:val="clear" w:color="auto" w:fill="FFFFFF"/>
        </w:rPr>
      </w:pPr>
      <w:r>
        <w:rPr>
          <w:rFonts w:ascii="黑体" w:hAnsi="黑体" w:eastAsia="黑体" w:cs="Times New Roman"/>
          <w:bCs/>
          <w:sz w:val="36"/>
          <w:szCs w:val="36"/>
        </w:rPr>
        <w:t>第二部分   2024年部门预算表</w:t>
      </w:r>
    </w:p>
    <w:p w14:paraId="0278048E">
      <w:pPr>
        <w:pStyle w:val="17"/>
      </w:pPr>
      <w:r>
        <w:rPr>
          <w:shd w:val="clear" w:color="auto" w:fill="FFFFFF"/>
        </w:rPr>
        <w:t>黄山市</w:t>
      </w:r>
      <w:r>
        <w:rPr>
          <w:rFonts w:hint="eastAsia"/>
          <w:shd w:val="clear" w:color="auto" w:fill="FFFFFF"/>
        </w:rPr>
        <w:t>经济和信息化局</w:t>
      </w:r>
      <w:r>
        <w:rPr>
          <w:shd w:val="clear" w:color="auto" w:fill="FFFFFF"/>
        </w:rPr>
        <w:t>2024年部门预算表由1</w:t>
      </w:r>
      <w:r>
        <w:rPr>
          <w:rFonts w:hint="eastAsia"/>
          <w:shd w:val="clear" w:color="auto" w:fill="FFFFFF"/>
        </w:rPr>
        <w:t>4</w:t>
      </w:r>
      <w:r>
        <w:rPr>
          <w:shd w:val="clear" w:color="auto" w:fill="FFFFFF"/>
        </w:rPr>
        <w:t>张表格构成，具体</w:t>
      </w:r>
      <w:r>
        <w:rPr>
          <w:rFonts w:hint="eastAsia"/>
          <w:shd w:val="clear" w:color="auto" w:fill="FFFFFF"/>
        </w:rPr>
        <w:t>内容如下</w:t>
      </w:r>
      <w:r>
        <w:rPr>
          <w:shd w:val="clear" w:color="auto" w:fill="FFFFFF"/>
        </w:rPr>
        <w:t>。</w:t>
      </w:r>
    </w:p>
    <w:tbl>
      <w:tblPr>
        <w:tblStyle w:val="10"/>
        <w:tblW w:w="8814" w:type="dxa"/>
        <w:tblInd w:w="93" w:type="dxa"/>
        <w:tblLayout w:type="fixed"/>
        <w:tblCellMar>
          <w:top w:w="0" w:type="dxa"/>
          <w:left w:w="108" w:type="dxa"/>
          <w:bottom w:w="0" w:type="dxa"/>
          <w:right w:w="108" w:type="dxa"/>
        </w:tblCellMar>
      </w:tblPr>
      <w:tblGrid>
        <w:gridCol w:w="2913"/>
        <w:gridCol w:w="1235"/>
        <w:gridCol w:w="2812"/>
        <w:gridCol w:w="1854"/>
      </w:tblGrid>
      <w:tr w14:paraId="4C53983D">
        <w:tblPrEx>
          <w:tblCellMar>
            <w:top w:w="0" w:type="dxa"/>
            <w:left w:w="108" w:type="dxa"/>
            <w:bottom w:w="0" w:type="dxa"/>
            <w:right w:w="108" w:type="dxa"/>
          </w:tblCellMar>
        </w:tblPrEx>
        <w:trPr>
          <w:trHeight w:val="371" w:hRule="atLeast"/>
        </w:trPr>
        <w:tc>
          <w:tcPr>
            <w:tcW w:w="2913" w:type="dxa"/>
            <w:tcBorders>
              <w:top w:val="nil"/>
              <w:left w:val="nil"/>
              <w:bottom w:val="nil"/>
              <w:right w:val="nil"/>
            </w:tcBorders>
            <w:noWrap/>
            <w:vAlign w:val="bottom"/>
          </w:tcPr>
          <w:p w14:paraId="6373EDEF">
            <w:pPr>
              <w:rPr>
                <w:rFonts w:ascii="Arial" w:hAnsi="Arial" w:cs="Arial"/>
                <w:color w:val="000000"/>
                <w:sz w:val="20"/>
                <w:szCs w:val="20"/>
              </w:rPr>
            </w:pPr>
          </w:p>
        </w:tc>
        <w:tc>
          <w:tcPr>
            <w:tcW w:w="1235" w:type="dxa"/>
            <w:tcBorders>
              <w:top w:val="nil"/>
              <w:left w:val="nil"/>
              <w:bottom w:val="nil"/>
              <w:right w:val="nil"/>
            </w:tcBorders>
            <w:noWrap/>
            <w:vAlign w:val="bottom"/>
          </w:tcPr>
          <w:p w14:paraId="7045D0FC">
            <w:pPr>
              <w:rPr>
                <w:rFonts w:ascii="Calibri" w:hAnsi="Calibri" w:cs="Calibri"/>
                <w:color w:val="000000"/>
                <w:sz w:val="22"/>
                <w:szCs w:val="22"/>
              </w:rPr>
            </w:pPr>
          </w:p>
        </w:tc>
        <w:tc>
          <w:tcPr>
            <w:tcW w:w="4666" w:type="dxa"/>
            <w:gridSpan w:val="2"/>
            <w:tcBorders>
              <w:top w:val="nil"/>
              <w:left w:val="nil"/>
              <w:bottom w:val="nil"/>
              <w:right w:val="nil"/>
            </w:tcBorders>
            <w:noWrap/>
            <w:vAlign w:val="bottom"/>
          </w:tcPr>
          <w:p w14:paraId="5B2231C3">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部门（单位）公开表1</w:t>
            </w:r>
          </w:p>
        </w:tc>
      </w:tr>
      <w:tr w14:paraId="14FA6FC8">
        <w:tblPrEx>
          <w:tblCellMar>
            <w:top w:w="0" w:type="dxa"/>
            <w:left w:w="108" w:type="dxa"/>
            <w:bottom w:w="0" w:type="dxa"/>
            <w:right w:w="108" w:type="dxa"/>
          </w:tblCellMar>
        </w:tblPrEx>
        <w:trPr>
          <w:trHeight w:val="740" w:hRule="atLeast"/>
        </w:trPr>
        <w:tc>
          <w:tcPr>
            <w:tcW w:w="8814" w:type="dxa"/>
            <w:gridSpan w:val="4"/>
            <w:tcBorders>
              <w:top w:val="nil"/>
              <w:left w:val="nil"/>
              <w:bottom w:val="nil"/>
              <w:right w:val="nil"/>
            </w:tcBorders>
            <w:noWrap/>
            <w:vAlign w:val="center"/>
          </w:tcPr>
          <w:p w14:paraId="0C3FD10F">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rPr>
              <w:t>表一、2024年收支总表</w:t>
            </w:r>
          </w:p>
        </w:tc>
      </w:tr>
      <w:tr w14:paraId="5054FB9A">
        <w:tblPrEx>
          <w:tblCellMar>
            <w:top w:w="0" w:type="dxa"/>
            <w:left w:w="108" w:type="dxa"/>
            <w:bottom w:w="0" w:type="dxa"/>
            <w:right w:w="108" w:type="dxa"/>
          </w:tblCellMar>
        </w:tblPrEx>
        <w:trPr>
          <w:trHeight w:val="623" w:hRule="atLeast"/>
        </w:trPr>
        <w:tc>
          <w:tcPr>
            <w:tcW w:w="2913" w:type="dxa"/>
            <w:tcBorders>
              <w:top w:val="nil"/>
              <w:left w:val="nil"/>
              <w:bottom w:val="nil"/>
              <w:right w:val="nil"/>
            </w:tcBorders>
            <w:noWrap/>
            <w:vAlign w:val="center"/>
          </w:tcPr>
          <w:p w14:paraId="0A5D5A9A">
            <w:pPr>
              <w:jc w:val="center"/>
              <w:rPr>
                <w:rFonts w:ascii="宋体" w:hAnsi="宋体" w:cs="宋体"/>
                <w:b/>
                <w:bCs/>
                <w:color w:val="000000"/>
                <w:sz w:val="44"/>
                <w:szCs w:val="44"/>
              </w:rPr>
            </w:pPr>
          </w:p>
        </w:tc>
        <w:tc>
          <w:tcPr>
            <w:tcW w:w="1235" w:type="dxa"/>
            <w:tcBorders>
              <w:top w:val="nil"/>
              <w:left w:val="nil"/>
              <w:bottom w:val="nil"/>
              <w:right w:val="nil"/>
            </w:tcBorders>
            <w:noWrap/>
            <w:vAlign w:val="center"/>
          </w:tcPr>
          <w:p w14:paraId="471FCA22">
            <w:pPr>
              <w:jc w:val="center"/>
              <w:rPr>
                <w:rFonts w:ascii="宋体" w:hAnsi="宋体" w:cs="宋体"/>
                <w:b/>
                <w:bCs/>
                <w:color w:val="000000"/>
                <w:sz w:val="44"/>
                <w:szCs w:val="44"/>
              </w:rPr>
            </w:pPr>
          </w:p>
        </w:tc>
        <w:tc>
          <w:tcPr>
            <w:tcW w:w="2812" w:type="dxa"/>
            <w:tcBorders>
              <w:top w:val="nil"/>
              <w:left w:val="nil"/>
              <w:bottom w:val="nil"/>
              <w:right w:val="nil"/>
            </w:tcBorders>
            <w:noWrap/>
            <w:vAlign w:val="center"/>
          </w:tcPr>
          <w:p w14:paraId="193C77CC">
            <w:pPr>
              <w:jc w:val="center"/>
              <w:rPr>
                <w:rFonts w:ascii="宋体" w:hAnsi="宋体" w:cs="宋体"/>
                <w:b/>
                <w:bCs/>
                <w:color w:val="000000"/>
                <w:sz w:val="44"/>
                <w:szCs w:val="44"/>
              </w:rPr>
            </w:pPr>
          </w:p>
        </w:tc>
        <w:tc>
          <w:tcPr>
            <w:tcW w:w="1854" w:type="dxa"/>
            <w:tcBorders>
              <w:top w:val="nil"/>
              <w:left w:val="nil"/>
              <w:bottom w:val="nil"/>
              <w:right w:val="nil"/>
            </w:tcBorders>
            <w:noWrap/>
            <w:vAlign w:val="center"/>
          </w:tcPr>
          <w:p w14:paraId="5FFDE07B">
            <w:pPr>
              <w:jc w:val="center"/>
              <w:rPr>
                <w:rFonts w:ascii="宋体" w:hAnsi="宋体" w:cs="宋体"/>
                <w:b/>
                <w:bCs/>
                <w:color w:val="000000"/>
                <w:sz w:val="44"/>
                <w:szCs w:val="44"/>
              </w:rPr>
            </w:pPr>
          </w:p>
        </w:tc>
      </w:tr>
      <w:tr w14:paraId="4FCEAECC">
        <w:tblPrEx>
          <w:tblCellMar>
            <w:top w:w="0" w:type="dxa"/>
            <w:left w:w="108" w:type="dxa"/>
            <w:bottom w:w="0" w:type="dxa"/>
            <w:right w:w="108" w:type="dxa"/>
          </w:tblCellMar>
        </w:tblPrEx>
        <w:trPr>
          <w:trHeight w:val="312" w:hRule="atLeast"/>
        </w:trPr>
        <w:tc>
          <w:tcPr>
            <w:tcW w:w="2913" w:type="dxa"/>
            <w:tcBorders>
              <w:top w:val="nil"/>
              <w:left w:val="nil"/>
              <w:bottom w:val="nil"/>
              <w:right w:val="nil"/>
            </w:tcBorders>
            <w:shd w:val="clear" w:color="auto" w:fill="auto"/>
            <w:noWrap/>
            <w:vAlign w:val="center"/>
          </w:tcPr>
          <w:p w14:paraId="0D65F56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[077]黄山市经济和信息化局 </w:t>
            </w:r>
          </w:p>
        </w:tc>
        <w:tc>
          <w:tcPr>
            <w:tcW w:w="1235" w:type="dxa"/>
            <w:tcBorders>
              <w:top w:val="nil"/>
              <w:left w:val="nil"/>
              <w:bottom w:val="nil"/>
              <w:right w:val="nil"/>
            </w:tcBorders>
            <w:shd w:val="clear" w:color="auto" w:fill="FFFFFF"/>
            <w:noWrap/>
            <w:vAlign w:val="center"/>
          </w:tcPr>
          <w:p w14:paraId="4BEFD052">
            <w:pPr>
              <w:jc w:val="left"/>
              <w:rPr>
                <w:rFonts w:ascii="宋体" w:hAnsi="宋体" w:cs="宋体"/>
                <w:color w:val="000000"/>
                <w:sz w:val="18"/>
                <w:szCs w:val="18"/>
              </w:rPr>
            </w:pPr>
          </w:p>
        </w:tc>
        <w:tc>
          <w:tcPr>
            <w:tcW w:w="2812" w:type="dxa"/>
            <w:tcBorders>
              <w:top w:val="nil"/>
              <w:left w:val="nil"/>
              <w:bottom w:val="nil"/>
              <w:right w:val="nil"/>
            </w:tcBorders>
            <w:shd w:val="clear" w:color="auto" w:fill="FFFFFF"/>
            <w:noWrap/>
            <w:vAlign w:val="center"/>
          </w:tcPr>
          <w:p w14:paraId="2D1AAFB3">
            <w:pPr>
              <w:jc w:val="left"/>
              <w:rPr>
                <w:rFonts w:ascii="宋体" w:hAnsi="宋体" w:cs="宋体"/>
                <w:color w:val="000000"/>
                <w:sz w:val="18"/>
                <w:szCs w:val="18"/>
              </w:rPr>
            </w:pPr>
          </w:p>
        </w:tc>
        <w:tc>
          <w:tcPr>
            <w:tcW w:w="1854" w:type="dxa"/>
            <w:tcBorders>
              <w:top w:val="nil"/>
              <w:left w:val="nil"/>
              <w:bottom w:val="nil"/>
              <w:right w:val="nil"/>
            </w:tcBorders>
            <w:noWrap/>
            <w:vAlign w:val="center"/>
          </w:tcPr>
          <w:p w14:paraId="627592CE">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单位：万元</w:t>
            </w:r>
          </w:p>
        </w:tc>
      </w:tr>
      <w:tr w14:paraId="0EDDE9E1">
        <w:tblPrEx>
          <w:tblCellMar>
            <w:top w:w="0" w:type="dxa"/>
            <w:left w:w="108" w:type="dxa"/>
            <w:bottom w:w="0" w:type="dxa"/>
            <w:right w:w="108" w:type="dxa"/>
          </w:tblCellMar>
        </w:tblPrEx>
        <w:trPr>
          <w:trHeight w:val="465" w:hRule="atLeast"/>
        </w:trPr>
        <w:tc>
          <w:tcPr>
            <w:tcW w:w="4148" w:type="dxa"/>
            <w:gridSpan w:val="2"/>
            <w:tcBorders>
              <w:top w:val="single" w:color="000000" w:sz="4" w:space="0"/>
              <w:left w:val="single" w:color="000000" w:sz="4" w:space="0"/>
              <w:bottom w:val="single" w:color="000000" w:sz="4" w:space="0"/>
              <w:right w:val="single" w:color="000000" w:sz="4" w:space="0"/>
            </w:tcBorders>
            <w:noWrap/>
            <w:vAlign w:val="center"/>
          </w:tcPr>
          <w:p w14:paraId="2F10A2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收入</w:t>
            </w:r>
          </w:p>
        </w:tc>
        <w:tc>
          <w:tcPr>
            <w:tcW w:w="4666" w:type="dxa"/>
            <w:gridSpan w:val="2"/>
            <w:tcBorders>
              <w:top w:val="single" w:color="000000" w:sz="4" w:space="0"/>
              <w:left w:val="single" w:color="000000" w:sz="4" w:space="0"/>
              <w:bottom w:val="single" w:color="000000" w:sz="4" w:space="0"/>
              <w:right w:val="single" w:color="000000" w:sz="4" w:space="0"/>
            </w:tcBorders>
            <w:noWrap/>
            <w:vAlign w:val="center"/>
          </w:tcPr>
          <w:p w14:paraId="1A4BEE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w:t>
            </w:r>
          </w:p>
        </w:tc>
      </w:tr>
      <w:tr w14:paraId="303A3891">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58BC6E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081585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预算数</w:t>
            </w: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5BA572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5EFB2A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r>
      <w:tr w14:paraId="02561F36">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7D79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一、一般公共预算收入</w:t>
            </w:r>
          </w:p>
        </w:tc>
        <w:tc>
          <w:tcPr>
            <w:tcW w:w="1235" w:type="dxa"/>
            <w:tcBorders>
              <w:top w:val="nil"/>
              <w:left w:val="nil"/>
              <w:bottom w:val="nil"/>
              <w:right w:val="nil"/>
            </w:tcBorders>
            <w:noWrap/>
            <w:vAlign w:val="center"/>
          </w:tcPr>
          <w:p w14:paraId="3D1B40BA">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732.91</w:t>
            </w: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2622847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一、一般公共服务支出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3A81339E">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1.10</w:t>
            </w:r>
          </w:p>
        </w:tc>
      </w:tr>
      <w:tr w14:paraId="33DFDF35">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3F61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二、政府性基金预算收入</w:t>
            </w: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175638CA">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53C8CCD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二、外交支出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37A82DB5">
            <w:pPr>
              <w:rPr>
                <w:rFonts w:ascii="Calibri" w:hAnsi="Calibri" w:cs="Calibri"/>
                <w:color w:val="000000"/>
                <w:sz w:val="22"/>
                <w:szCs w:val="22"/>
              </w:rPr>
            </w:pPr>
          </w:p>
        </w:tc>
      </w:tr>
      <w:tr w14:paraId="21C61500">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44D0699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三、国有资本经营预算拨款收入</w:t>
            </w: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109FE77C">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0CB0065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三、国防支出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57A3C991">
            <w:pPr>
              <w:jc w:val="right"/>
              <w:rPr>
                <w:rFonts w:ascii="宋体" w:hAnsi="宋体" w:cs="宋体"/>
                <w:color w:val="000000"/>
                <w:sz w:val="18"/>
                <w:szCs w:val="18"/>
              </w:rPr>
            </w:pPr>
          </w:p>
        </w:tc>
      </w:tr>
      <w:tr w14:paraId="2E0DF740">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2B7A087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四、财政专户管理资金</w:t>
            </w: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1004F57E">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4284711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四、公共安全支出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31E3FF94">
            <w:pPr>
              <w:jc w:val="right"/>
              <w:rPr>
                <w:rFonts w:ascii="宋体" w:hAnsi="宋体" w:cs="宋体"/>
                <w:color w:val="000000"/>
                <w:sz w:val="18"/>
                <w:szCs w:val="18"/>
              </w:rPr>
            </w:pPr>
          </w:p>
        </w:tc>
      </w:tr>
      <w:tr w14:paraId="56B8D366">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3D49864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五、其他收入安排</w:t>
            </w: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212613B5">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70E1DE2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五、教育支出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47E7E5BE">
            <w:pPr>
              <w:jc w:val="right"/>
              <w:rPr>
                <w:rFonts w:ascii="宋体" w:hAnsi="宋体" w:cs="宋体"/>
                <w:color w:val="000000"/>
                <w:sz w:val="18"/>
                <w:szCs w:val="18"/>
              </w:rPr>
            </w:pPr>
          </w:p>
        </w:tc>
      </w:tr>
      <w:tr w14:paraId="6757E069">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0FF6704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事业收入</w:t>
            </w: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15536B7C">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21D0925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六、科学技术支出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5BC96EBC">
            <w:pPr>
              <w:jc w:val="right"/>
              <w:rPr>
                <w:rFonts w:ascii="宋体" w:hAnsi="宋体" w:cs="宋体"/>
                <w:color w:val="000000"/>
                <w:sz w:val="18"/>
                <w:szCs w:val="18"/>
              </w:rPr>
            </w:pPr>
          </w:p>
        </w:tc>
      </w:tr>
      <w:tr w14:paraId="067C541B">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063C234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经营收入</w:t>
            </w: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3AF8E039">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21DD12B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七、文化旅游体育与传媒支出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3729801C">
            <w:pPr>
              <w:jc w:val="right"/>
              <w:rPr>
                <w:rFonts w:ascii="宋体" w:hAnsi="宋体" w:cs="宋体"/>
                <w:color w:val="000000"/>
                <w:sz w:val="18"/>
                <w:szCs w:val="18"/>
              </w:rPr>
            </w:pPr>
          </w:p>
        </w:tc>
      </w:tr>
      <w:tr w14:paraId="60B26345">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417C228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上级补助收入</w:t>
            </w: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6878C3E5">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55945C3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八、社会保障和就业支出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1DD5837E">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201.92</w:t>
            </w:r>
          </w:p>
        </w:tc>
      </w:tr>
      <w:tr w14:paraId="378A392A">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7C87DD3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附属单位上缴收入</w:t>
            </w: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306796DE">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3E4EEE5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九、社会保险基金支出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1B904A9C">
            <w:pPr>
              <w:jc w:val="right"/>
              <w:rPr>
                <w:rFonts w:ascii="宋体" w:hAnsi="宋体" w:cs="宋体"/>
                <w:color w:val="000000"/>
                <w:sz w:val="18"/>
                <w:szCs w:val="18"/>
              </w:rPr>
            </w:pPr>
          </w:p>
        </w:tc>
      </w:tr>
      <w:tr w14:paraId="0BAC030B">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09E5C6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w:t>
            </w: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028D5A2D">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6546305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十、卫生健康支出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188C22BD">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40.42</w:t>
            </w:r>
          </w:p>
        </w:tc>
      </w:tr>
      <w:tr w14:paraId="5668488F">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AF73">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1B2AC">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134AE7B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十一、节能环保支出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7E2B5DFC">
            <w:pPr>
              <w:jc w:val="right"/>
              <w:rPr>
                <w:rFonts w:ascii="宋体" w:hAnsi="宋体" w:cs="宋体"/>
                <w:color w:val="000000"/>
                <w:sz w:val="18"/>
                <w:szCs w:val="18"/>
              </w:rPr>
            </w:pPr>
          </w:p>
        </w:tc>
      </w:tr>
      <w:tr w14:paraId="2FFBA864">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F79F">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321B4">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01666BF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十二、城乡社区支出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75C8AD4D">
            <w:pPr>
              <w:jc w:val="right"/>
              <w:rPr>
                <w:rFonts w:ascii="宋体" w:hAnsi="宋体" w:cs="宋体"/>
                <w:color w:val="000000"/>
                <w:sz w:val="18"/>
                <w:szCs w:val="18"/>
              </w:rPr>
            </w:pPr>
          </w:p>
        </w:tc>
      </w:tr>
      <w:tr w14:paraId="02D6E5C6">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6E72">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61957">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28148EF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十三、农林水支出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7FE27142">
            <w:pPr>
              <w:jc w:val="right"/>
              <w:rPr>
                <w:rFonts w:ascii="宋体" w:hAnsi="宋体" w:cs="宋体"/>
                <w:color w:val="000000"/>
                <w:sz w:val="18"/>
                <w:szCs w:val="18"/>
              </w:rPr>
            </w:pPr>
          </w:p>
        </w:tc>
      </w:tr>
      <w:tr w14:paraId="68FAEC0E">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2B02">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33340">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4077AAA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十四、交通运输支出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0627B3DC">
            <w:pPr>
              <w:jc w:val="right"/>
              <w:rPr>
                <w:rFonts w:ascii="宋体" w:hAnsi="宋体" w:cs="宋体"/>
                <w:color w:val="000000"/>
                <w:sz w:val="18"/>
                <w:szCs w:val="18"/>
              </w:rPr>
            </w:pPr>
          </w:p>
        </w:tc>
      </w:tr>
      <w:tr w14:paraId="1742CC12">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7A73">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38B47">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773DDF1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十五、资源勘探工业信息等支出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65A06D33">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464.47</w:t>
            </w:r>
          </w:p>
        </w:tc>
      </w:tr>
      <w:tr w14:paraId="5D43CAF0">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4AD6394D">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029E5F50">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239358A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十六、商业服务业等支出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0A911C0E">
            <w:pPr>
              <w:jc w:val="right"/>
              <w:rPr>
                <w:rFonts w:ascii="宋体" w:hAnsi="宋体" w:cs="宋体"/>
                <w:color w:val="000000"/>
                <w:sz w:val="18"/>
                <w:szCs w:val="18"/>
              </w:rPr>
            </w:pPr>
          </w:p>
        </w:tc>
      </w:tr>
      <w:tr w14:paraId="578CF500">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72884C35">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7F79A230">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1633A8E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十七、金融支出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17F5218B">
            <w:pPr>
              <w:jc w:val="right"/>
              <w:rPr>
                <w:rFonts w:ascii="宋体" w:hAnsi="宋体" w:cs="宋体"/>
                <w:color w:val="000000"/>
                <w:sz w:val="18"/>
                <w:szCs w:val="18"/>
              </w:rPr>
            </w:pPr>
          </w:p>
        </w:tc>
      </w:tr>
      <w:tr w14:paraId="5EC42E82">
        <w:tblPrEx>
          <w:tblCellMar>
            <w:top w:w="0" w:type="dxa"/>
            <w:left w:w="108" w:type="dxa"/>
            <w:bottom w:w="0" w:type="dxa"/>
            <w:right w:w="108" w:type="dxa"/>
          </w:tblCellMar>
        </w:tblPrEx>
        <w:trPr>
          <w:trHeight w:val="479"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429C130F">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noWrap/>
            <w:vAlign w:val="bottom"/>
          </w:tcPr>
          <w:p w14:paraId="335E3E3B">
            <w:pPr>
              <w:rPr>
                <w:rFonts w:ascii="Calibri" w:hAnsi="Calibri" w:cs="Calibri"/>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6174415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十八、援助其他地区支出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507184E8">
            <w:pPr>
              <w:jc w:val="right"/>
              <w:rPr>
                <w:rFonts w:ascii="宋体" w:hAnsi="宋体" w:cs="宋体"/>
                <w:color w:val="000000"/>
                <w:sz w:val="18"/>
                <w:szCs w:val="18"/>
              </w:rPr>
            </w:pPr>
          </w:p>
        </w:tc>
      </w:tr>
      <w:tr w14:paraId="273CF8E1">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637CE429">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7F1FC07D">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7819E50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十九、自然资源海洋气象等支出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56B8973B">
            <w:pPr>
              <w:jc w:val="right"/>
              <w:rPr>
                <w:rFonts w:ascii="宋体" w:hAnsi="宋体" w:cs="宋体"/>
                <w:color w:val="000000"/>
                <w:sz w:val="18"/>
                <w:szCs w:val="18"/>
              </w:rPr>
            </w:pPr>
          </w:p>
        </w:tc>
      </w:tr>
      <w:tr w14:paraId="699E93E5">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7514A30A">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72E9C9F0">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60719CE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二十、住房保障支出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30C356D7">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40.74</w:t>
            </w:r>
          </w:p>
        </w:tc>
      </w:tr>
      <w:tr w14:paraId="117FCCF6">
        <w:tblPrEx>
          <w:tblCellMar>
            <w:top w:w="0" w:type="dxa"/>
            <w:left w:w="108" w:type="dxa"/>
            <w:bottom w:w="0" w:type="dxa"/>
            <w:right w:w="108" w:type="dxa"/>
          </w:tblCellMar>
        </w:tblPrEx>
        <w:trPr>
          <w:trHeight w:val="539"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68D5182F">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noWrap/>
            <w:vAlign w:val="bottom"/>
          </w:tcPr>
          <w:p w14:paraId="007232A6">
            <w:pPr>
              <w:rPr>
                <w:rFonts w:ascii="Calibri" w:hAnsi="Calibri" w:cs="Calibri"/>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21990F2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二十一、粮油物资储备支出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1A3AD17E">
            <w:pPr>
              <w:jc w:val="right"/>
              <w:rPr>
                <w:rFonts w:ascii="宋体" w:hAnsi="宋体" w:cs="宋体"/>
                <w:color w:val="000000"/>
                <w:sz w:val="18"/>
                <w:szCs w:val="18"/>
              </w:rPr>
            </w:pPr>
          </w:p>
        </w:tc>
      </w:tr>
      <w:tr w14:paraId="10F06BC0">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668EEB07">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5EE43A81">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48AA9BA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二十二、国有资本经营预算支出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31AAFD88">
            <w:pPr>
              <w:jc w:val="right"/>
              <w:rPr>
                <w:rFonts w:ascii="宋体" w:hAnsi="宋体" w:cs="宋体"/>
                <w:color w:val="000000"/>
                <w:sz w:val="18"/>
                <w:szCs w:val="18"/>
              </w:rPr>
            </w:pPr>
          </w:p>
        </w:tc>
      </w:tr>
      <w:tr w14:paraId="6A05A7BC">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0EAA0454">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395AE69E">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036E478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二十三、灾害防治及应急管理支出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20184099">
            <w:pPr>
              <w:jc w:val="right"/>
              <w:rPr>
                <w:rFonts w:ascii="宋体" w:hAnsi="宋体" w:cs="宋体"/>
                <w:color w:val="000000"/>
                <w:sz w:val="18"/>
                <w:szCs w:val="18"/>
              </w:rPr>
            </w:pPr>
          </w:p>
        </w:tc>
      </w:tr>
      <w:tr w14:paraId="4FAAC698">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F703">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6533">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F9AF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二十四、预备费</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21E62A60">
            <w:pPr>
              <w:jc w:val="right"/>
              <w:rPr>
                <w:rFonts w:ascii="宋体" w:hAnsi="宋体" w:cs="宋体"/>
                <w:color w:val="000000"/>
                <w:sz w:val="18"/>
                <w:szCs w:val="18"/>
              </w:rPr>
            </w:pPr>
          </w:p>
        </w:tc>
      </w:tr>
      <w:tr w14:paraId="61CEC289">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ED08">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3B1A">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7CEA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二十五、其他支出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71B086DE">
            <w:pPr>
              <w:jc w:val="right"/>
              <w:rPr>
                <w:rFonts w:ascii="宋体" w:hAnsi="宋体" w:cs="宋体"/>
                <w:color w:val="000000"/>
                <w:sz w:val="18"/>
                <w:szCs w:val="18"/>
              </w:rPr>
            </w:pPr>
          </w:p>
        </w:tc>
      </w:tr>
      <w:tr w14:paraId="13DEEF40">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3A0ED8C5">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4A00A5C9">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20B3A5E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二十六、转移性支出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3EDAA752">
            <w:pPr>
              <w:jc w:val="right"/>
              <w:rPr>
                <w:rFonts w:ascii="宋体" w:hAnsi="宋体" w:cs="宋体"/>
                <w:color w:val="000000"/>
                <w:sz w:val="18"/>
                <w:szCs w:val="18"/>
              </w:rPr>
            </w:pPr>
          </w:p>
        </w:tc>
      </w:tr>
      <w:tr w14:paraId="062D7B45">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7A1512C1">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6A90943C">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2E5BC6B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二十七、债务还本支出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6F97C076">
            <w:pPr>
              <w:jc w:val="right"/>
              <w:rPr>
                <w:rFonts w:ascii="宋体" w:hAnsi="宋体" w:cs="宋体"/>
                <w:color w:val="000000"/>
                <w:sz w:val="18"/>
                <w:szCs w:val="18"/>
              </w:rPr>
            </w:pPr>
          </w:p>
        </w:tc>
      </w:tr>
      <w:tr w14:paraId="1FEB3958">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60124CCB">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7EA7E55D">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458D136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二十八、债务付息支出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0CF09D03">
            <w:pPr>
              <w:jc w:val="right"/>
              <w:rPr>
                <w:rFonts w:ascii="宋体" w:hAnsi="宋体" w:cs="宋体"/>
                <w:color w:val="000000"/>
                <w:sz w:val="18"/>
                <w:szCs w:val="18"/>
              </w:rPr>
            </w:pPr>
          </w:p>
        </w:tc>
      </w:tr>
      <w:tr w14:paraId="04BE172F">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22B5A4E9">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2AEA549A">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31E4800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二十九、债务发行费用支出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3193AAF2">
            <w:pPr>
              <w:jc w:val="right"/>
              <w:rPr>
                <w:rFonts w:ascii="宋体" w:hAnsi="宋体" w:cs="宋体"/>
                <w:color w:val="000000"/>
                <w:sz w:val="18"/>
                <w:szCs w:val="18"/>
              </w:rPr>
            </w:pPr>
          </w:p>
        </w:tc>
      </w:tr>
      <w:tr w14:paraId="68D8D221">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341F263B">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38F23179">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73CF85F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三十、抗疫特别国债安排的支出</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67DD9A62">
            <w:pPr>
              <w:jc w:val="right"/>
              <w:rPr>
                <w:rFonts w:ascii="宋体" w:hAnsi="宋体" w:cs="宋体"/>
                <w:color w:val="000000"/>
                <w:sz w:val="18"/>
                <w:szCs w:val="18"/>
              </w:rPr>
            </w:pPr>
          </w:p>
        </w:tc>
      </w:tr>
      <w:tr w14:paraId="681C6A6E">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26E67678">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本年收入小计</w:t>
            </w: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1BA33CF5">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732.91</w:t>
            </w: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09EC369F">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本年支出小计</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04927861">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748.65</w:t>
            </w:r>
          </w:p>
        </w:tc>
      </w:tr>
      <w:tr w14:paraId="725AF94F">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1A4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上年结转</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71A4">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15.74</w:t>
            </w:r>
          </w:p>
        </w:tc>
        <w:tc>
          <w:tcPr>
            <w:tcW w:w="2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C1F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结转下年</w:t>
            </w:r>
          </w:p>
        </w:tc>
        <w:tc>
          <w:tcPr>
            <w:tcW w:w="18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A56FB">
            <w:pPr>
              <w:jc w:val="right"/>
              <w:rPr>
                <w:rFonts w:ascii="宋体" w:hAnsi="宋体" w:cs="宋体"/>
                <w:color w:val="000000"/>
                <w:sz w:val="18"/>
                <w:szCs w:val="18"/>
              </w:rPr>
            </w:pPr>
          </w:p>
        </w:tc>
      </w:tr>
      <w:tr w14:paraId="6787618F">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B43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一般公共预算</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8D09">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15.74</w:t>
            </w:r>
          </w:p>
        </w:tc>
        <w:tc>
          <w:tcPr>
            <w:tcW w:w="2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1EB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一般公共预算</w:t>
            </w:r>
          </w:p>
        </w:tc>
        <w:tc>
          <w:tcPr>
            <w:tcW w:w="18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AA521">
            <w:pPr>
              <w:jc w:val="right"/>
              <w:rPr>
                <w:rFonts w:ascii="宋体" w:hAnsi="宋体" w:cs="宋体"/>
                <w:color w:val="000000"/>
                <w:sz w:val="18"/>
                <w:szCs w:val="18"/>
              </w:rPr>
            </w:pPr>
          </w:p>
        </w:tc>
      </w:tr>
      <w:tr w14:paraId="7A01F768">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6FB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政府性基金预算</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7863">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B3F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政府性基金预算</w:t>
            </w:r>
          </w:p>
        </w:tc>
        <w:tc>
          <w:tcPr>
            <w:tcW w:w="18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50300">
            <w:pPr>
              <w:jc w:val="right"/>
              <w:rPr>
                <w:rFonts w:ascii="宋体" w:hAnsi="宋体" w:cs="宋体"/>
                <w:color w:val="000000"/>
                <w:sz w:val="18"/>
                <w:szCs w:val="18"/>
              </w:rPr>
            </w:pPr>
          </w:p>
        </w:tc>
      </w:tr>
      <w:tr w14:paraId="0D700C82">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B04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国有资本经营预算</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DC50">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CF4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国有资本经营预算</w:t>
            </w:r>
          </w:p>
        </w:tc>
        <w:tc>
          <w:tcPr>
            <w:tcW w:w="18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A3FA1">
            <w:pPr>
              <w:jc w:val="right"/>
              <w:rPr>
                <w:rFonts w:ascii="宋体" w:hAnsi="宋体" w:cs="宋体"/>
                <w:color w:val="000000"/>
                <w:sz w:val="18"/>
                <w:szCs w:val="18"/>
              </w:rPr>
            </w:pPr>
          </w:p>
        </w:tc>
      </w:tr>
      <w:tr w14:paraId="39489AB4">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73E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财政专户</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16B3">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56D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财政专户</w:t>
            </w:r>
          </w:p>
        </w:tc>
        <w:tc>
          <w:tcPr>
            <w:tcW w:w="18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0D29D">
            <w:pPr>
              <w:jc w:val="right"/>
              <w:rPr>
                <w:rFonts w:ascii="宋体" w:hAnsi="宋体" w:cs="宋体"/>
                <w:color w:val="000000"/>
                <w:sz w:val="18"/>
                <w:szCs w:val="18"/>
              </w:rPr>
            </w:pPr>
          </w:p>
        </w:tc>
      </w:tr>
      <w:tr w14:paraId="33CF7E0D">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2DA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3891">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6FC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w:t>
            </w:r>
          </w:p>
        </w:tc>
        <w:tc>
          <w:tcPr>
            <w:tcW w:w="18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A4B7F">
            <w:pPr>
              <w:jc w:val="right"/>
              <w:rPr>
                <w:rFonts w:ascii="宋体" w:hAnsi="宋体" w:cs="宋体"/>
                <w:color w:val="000000"/>
                <w:sz w:val="18"/>
                <w:szCs w:val="18"/>
              </w:rPr>
            </w:pPr>
          </w:p>
        </w:tc>
      </w:tr>
      <w:tr w14:paraId="4E775104">
        <w:tblPrEx>
          <w:tblCellMar>
            <w:top w:w="0" w:type="dxa"/>
            <w:left w:w="108" w:type="dxa"/>
            <w:bottom w:w="0" w:type="dxa"/>
            <w:right w:w="108" w:type="dxa"/>
          </w:tblCellMar>
        </w:tblPrEx>
        <w:trPr>
          <w:trHeight w:val="465"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6BE9DC1D">
            <w:pPr>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1C4A6C38">
            <w:pPr>
              <w:jc w:val="right"/>
              <w:rPr>
                <w:rFonts w:ascii="宋体" w:hAnsi="宋体" w:cs="宋体"/>
                <w:color w:val="000000"/>
                <w:sz w:val="18"/>
                <w:szCs w:val="18"/>
              </w:rPr>
            </w:pP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419BE17B">
            <w:pPr>
              <w:jc w:val="center"/>
              <w:rPr>
                <w:rFonts w:ascii="宋体" w:hAnsi="宋体" w:cs="宋体"/>
                <w:b/>
                <w:bCs/>
                <w:color w:val="000000"/>
                <w:sz w:val="20"/>
                <w:szCs w:val="20"/>
              </w:rPr>
            </w:pPr>
          </w:p>
        </w:tc>
        <w:tc>
          <w:tcPr>
            <w:tcW w:w="1854" w:type="dxa"/>
            <w:tcBorders>
              <w:top w:val="single" w:color="000000" w:sz="4" w:space="0"/>
              <w:left w:val="single" w:color="000000" w:sz="4" w:space="0"/>
              <w:bottom w:val="single" w:color="000000" w:sz="4" w:space="0"/>
              <w:right w:val="single" w:color="000000" w:sz="4" w:space="0"/>
            </w:tcBorders>
            <w:noWrap/>
            <w:vAlign w:val="bottom"/>
          </w:tcPr>
          <w:p w14:paraId="3604F23D">
            <w:pPr>
              <w:rPr>
                <w:rFonts w:ascii="Calibri" w:hAnsi="Calibri" w:cs="Calibri"/>
                <w:color w:val="000000"/>
                <w:sz w:val="18"/>
                <w:szCs w:val="18"/>
              </w:rPr>
            </w:pPr>
          </w:p>
        </w:tc>
      </w:tr>
      <w:tr w14:paraId="7F48E2EA">
        <w:tblPrEx>
          <w:tblCellMar>
            <w:top w:w="0" w:type="dxa"/>
            <w:left w:w="108" w:type="dxa"/>
            <w:bottom w:w="0" w:type="dxa"/>
            <w:right w:w="108" w:type="dxa"/>
          </w:tblCellMar>
        </w:tblPrEx>
        <w:trPr>
          <w:trHeight w:val="484" w:hRule="atLeast"/>
        </w:trPr>
        <w:tc>
          <w:tcPr>
            <w:tcW w:w="2913" w:type="dxa"/>
            <w:tcBorders>
              <w:top w:val="single" w:color="000000" w:sz="4" w:space="0"/>
              <w:left w:val="single" w:color="000000" w:sz="4" w:space="0"/>
              <w:bottom w:val="single" w:color="000000" w:sz="4" w:space="0"/>
              <w:right w:val="single" w:color="000000" w:sz="4" w:space="0"/>
            </w:tcBorders>
            <w:noWrap/>
            <w:vAlign w:val="center"/>
          </w:tcPr>
          <w:p w14:paraId="30F6D19C">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收入总计</w:t>
            </w: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2032CB4B">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748.65</w:t>
            </w: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49D627FE">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支出总计</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35BDA0DB">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748.65</w:t>
            </w:r>
          </w:p>
        </w:tc>
      </w:tr>
    </w:tbl>
    <w:p w14:paraId="357905A3">
      <w:pPr>
        <w:pStyle w:val="9"/>
        <w:adjustRightInd w:val="0"/>
        <w:snapToGrid w:val="0"/>
        <w:spacing w:before="0" w:beforeAutospacing="0" w:after="0" w:afterAutospacing="0" w:line="360" w:lineRule="auto"/>
        <w:jc w:val="center"/>
        <w:rPr>
          <w:rFonts w:ascii="Times New Roman" w:hAnsi="Times New Roman" w:eastAsia="黑体" w:cs="Times New Roman"/>
          <w:bCs/>
          <w:sz w:val="36"/>
          <w:szCs w:val="36"/>
        </w:rPr>
      </w:pPr>
    </w:p>
    <w:p w14:paraId="20CFF778">
      <w:pPr>
        <w:pStyle w:val="9"/>
        <w:adjustRightInd w:val="0"/>
        <w:snapToGrid w:val="0"/>
        <w:spacing w:before="0" w:beforeAutospacing="0" w:after="0" w:afterAutospacing="0" w:line="360" w:lineRule="auto"/>
        <w:jc w:val="center"/>
        <w:rPr>
          <w:rFonts w:ascii="Times New Roman" w:hAnsi="Times New Roman" w:eastAsia="黑体" w:cs="Times New Roman"/>
          <w:bCs/>
          <w:sz w:val="36"/>
          <w:szCs w:val="36"/>
        </w:rPr>
        <w:sectPr>
          <w:headerReference r:id="rId3" w:type="default"/>
          <w:footerReference r:id="rId4" w:type="default"/>
          <w:pgSz w:w="11906" w:h="16838"/>
          <w:pgMar w:top="1440" w:right="1418" w:bottom="1440" w:left="1797" w:header="851" w:footer="992" w:gutter="0"/>
          <w:cols w:space="720" w:num="1"/>
          <w:docGrid w:type="linesAndChars" w:linePitch="312" w:charSpace="0"/>
        </w:sectPr>
      </w:pPr>
    </w:p>
    <w:tbl>
      <w:tblPr>
        <w:tblStyle w:val="10"/>
        <w:tblW w:w="0" w:type="auto"/>
        <w:tblInd w:w="0" w:type="dxa"/>
        <w:tblLayout w:type="fixed"/>
        <w:tblCellMar>
          <w:top w:w="0" w:type="dxa"/>
          <w:left w:w="108" w:type="dxa"/>
          <w:bottom w:w="0" w:type="dxa"/>
          <w:right w:w="108" w:type="dxa"/>
        </w:tblCellMar>
      </w:tblPr>
      <w:tblGrid>
        <w:gridCol w:w="1571"/>
        <w:gridCol w:w="955"/>
        <w:gridCol w:w="981"/>
        <w:gridCol w:w="859"/>
        <w:gridCol w:w="682"/>
        <w:gridCol w:w="668"/>
        <w:gridCol w:w="520"/>
        <w:gridCol w:w="477"/>
        <w:gridCol w:w="716"/>
        <w:gridCol w:w="1040"/>
        <w:gridCol w:w="473"/>
        <w:gridCol w:w="622"/>
        <w:gridCol w:w="462"/>
        <w:gridCol w:w="777"/>
        <w:gridCol w:w="816"/>
        <w:gridCol w:w="371"/>
        <w:gridCol w:w="491"/>
        <w:gridCol w:w="503"/>
        <w:gridCol w:w="471"/>
      </w:tblGrid>
      <w:tr w14:paraId="4157960E">
        <w:tblPrEx>
          <w:tblCellMar>
            <w:top w:w="0" w:type="dxa"/>
            <w:left w:w="108" w:type="dxa"/>
            <w:bottom w:w="0" w:type="dxa"/>
            <w:right w:w="108" w:type="dxa"/>
          </w:tblCellMar>
        </w:tblPrEx>
        <w:trPr>
          <w:trHeight w:val="90" w:hRule="atLeast"/>
        </w:trPr>
        <w:tc>
          <w:tcPr>
            <w:tcW w:w="1571" w:type="dxa"/>
            <w:tcBorders>
              <w:top w:val="nil"/>
              <w:left w:val="nil"/>
              <w:bottom w:val="nil"/>
              <w:right w:val="nil"/>
            </w:tcBorders>
            <w:noWrap/>
            <w:vAlign w:val="bottom"/>
          </w:tcPr>
          <w:p w14:paraId="38702738">
            <w:pPr>
              <w:pStyle w:val="9"/>
              <w:adjustRightInd w:val="0"/>
              <w:snapToGrid w:val="0"/>
              <w:spacing w:before="0" w:beforeAutospacing="0" w:after="0" w:afterAutospacing="0" w:line="360" w:lineRule="auto"/>
              <w:jc w:val="center"/>
              <w:rPr>
                <w:rFonts w:ascii="Arial" w:hAnsi="Arial" w:cs="Arial"/>
                <w:color w:val="000000"/>
                <w:sz w:val="20"/>
                <w:szCs w:val="20"/>
              </w:rPr>
            </w:pPr>
            <w:r>
              <w:rPr>
                <w:rFonts w:hint="eastAsia" w:ascii="Times New Roman" w:hAnsi="Times New Roman" w:eastAsia="黑体" w:cs="Times New Roman"/>
                <w:bCs/>
                <w:sz w:val="36"/>
                <w:szCs w:val="36"/>
              </w:rPr>
              <w:br w:type="page"/>
            </w:r>
          </w:p>
        </w:tc>
        <w:tc>
          <w:tcPr>
            <w:tcW w:w="955" w:type="dxa"/>
            <w:tcBorders>
              <w:top w:val="nil"/>
              <w:left w:val="nil"/>
              <w:bottom w:val="nil"/>
              <w:right w:val="nil"/>
            </w:tcBorders>
            <w:noWrap/>
            <w:vAlign w:val="bottom"/>
          </w:tcPr>
          <w:p w14:paraId="107E82C3">
            <w:pPr>
              <w:rPr>
                <w:rFonts w:ascii="Arial" w:hAnsi="Arial" w:cs="Arial"/>
                <w:color w:val="000000"/>
                <w:sz w:val="20"/>
                <w:szCs w:val="20"/>
              </w:rPr>
            </w:pPr>
          </w:p>
        </w:tc>
        <w:tc>
          <w:tcPr>
            <w:tcW w:w="981" w:type="dxa"/>
            <w:tcBorders>
              <w:top w:val="nil"/>
              <w:left w:val="nil"/>
              <w:bottom w:val="nil"/>
              <w:right w:val="nil"/>
            </w:tcBorders>
            <w:noWrap/>
            <w:vAlign w:val="bottom"/>
          </w:tcPr>
          <w:p w14:paraId="34C58B63">
            <w:pPr>
              <w:rPr>
                <w:rFonts w:ascii="Arial" w:hAnsi="Arial" w:cs="Arial"/>
                <w:color w:val="000000"/>
                <w:sz w:val="20"/>
                <w:szCs w:val="20"/>
              </w:rPr>
            </w:pPr>
          </w:p>
        </w:tc>
        <w:tc>
          <w:tcPr>
            <w:tcW w:w="859" w:type="dxa"/>
            <w:tcBorders>
              <w:top w:val="nil"/>
              <w:left w:val="nil"/>
              <w:bottom w:val="nil"/>
              <w:right w:val="nil"/>
            </w:tcBorders>
            <w:noWrap/>
            <w:vAlign w:val="bottom"/>
          </w:tcPr>
          <w:p w14:paraId="5F8F50DF">
            <w:pPr>
              <w:rPr>
                <w:rFonts w:ascii="Arial" w:hAnsi="Arial" w:cs="Arial"/>
                <w:color w:val="000000"/>
                <w:sz w:val="20"/>
                <w:szCs w:val="20"/>
              </w:rPr>
            </w:pPr>
          </w:p>
        </w:tc>
        <w:tc>
          <w:tcPr>
            <w:tcW w:w="682" w:type="dxa"/>
            <w:tcBorders>
              <w:top w:val="nil"/>
              <w:left w:val="nil"/>
              <w:bottom w:val="nil"/>
              <w:right w:val="nil"/>
            </w:tcBorders>
            <w:noWrap/>
            <w:vAlign w:val="bottom"/>
          </w:tcPr>
          <w:p w14:paraId="78314391">
            <w:pPr>
              <w:rPr>
                <w:rFonts w:ascii="Arial" w:hAnsi="Arial" w:cs="Arial"/>
                <w:color w:val="000000"/>
                <w:sz w:val="20"/>
                <w:szCs w:val="20"/>
              </w:rPr>
            </w:pPr>
          </w:p>
        </w:tc>
        <w:tc>
          <w:tcPr>
            <w:tcW w:w="668" w:type="dxa"/>
            <w:tcBorders>
              <w:top w:val="nil"/>
              <w:left w:val="nil"/>
              <w:bottom w:val="nil"/>
              <w:right w:val="nil"/>
            </w:tcBorders>
            <w:noWrap/>
            <w:vAlign w:val="bottom"/>
          </w:tcPr>
          <w:p w14:paraId="413D10BB">
            <w:pPr>
              <w:rPr>
                <w:rFonts w:ascii="Arial" w:hAnsi="Arial" w:cs="Arial"/>
                <w:color w:val="000000"/>
                <w:sz w:val="20"/>
                <w:szCs w:val="20"/>
              </w:rPr>
            </w:pPr>
          </w:p>
        </w:tc>
        <w:tc>
          <w:tcPr>
            <w:tcW w:w="520" w:type="dxa"/>
            <w:tcBorders>
              <w:top w:val="nil"/>
              <w:left w:val="nil"/>
              <w:bottom w:val="nil"/>
              <w:right w:val="nil"/>
            </w:tcBorders>
            <w:noWrap/>
            <w:vAlign w:val="bottom"/>
          </w:tcPr>
          <w:p w14:paraId="1B9BA970">
            <w:pPr>
              <w:rPr>
                <w:rFonts w:ascii="Arial" w:hAnsi="Arial" w:cs="Arial"/>
                <w:color w:val="000000"/>
                <w:sz w:val="20"/>
                <w:szCs w:val="20"/>
              </w:rPr>
            </w:pPr>
          </w:p>
        </w:tc>
        <w:tc>
          <w:tcPr>
            <w:tcW w:w="477" w:type="dxa"/>
            <w:tcBorders>
              <w:top w:val="nil"/>
              <w:left w:val="nil"/>
              <w:bottom w:val="nil"/>
              <w:right w:val="nil"/>
            </w:tcBorders>
            <w:noWrap/>
            <w:vAlign w:val="bottom"/>
          </w:tcPr>
          <w:p w14:paraId="24524415">
            <w:pPr>
              <w:rPr>
                <w:rFonts w:ascii="Arial" w:hAnsi="Arial" w:cs="Arial"/>
                <w:color w:val="000000"/>
                <w:sz w:val="20"/>
                <w:szCs w:val="20"/>
              </w:rPr>
            </w:pPr>
          </w:p>
        </w:tc>
        <w:tc>
          <w:tcPr>
            <w:tcW w:w="716" w:type="dxa"/>
            <w:tcBorders>
              <w:top w:val="nil"/>
              <w:left w:val="nil"/>
              <w:bottom w:val="nil"/>
              <w:right w:val="nil"/>
            </w:tcBorders>
            <w:noWrap/>
            <w:vAlign w:val="bottom"/>
          </w:tcPr>
          <w:p w14:paraId="1C877649">
            <w:pPr>
              <w:rPr>
                <w:rFonts w:ascii="Arial" w:hAnsi="Arial" w:cs="Arial"/>
                <w:color w:val="000000"/>
                <w:sz w:val="20"/>
                <w:szCs w:val="20"/>
              </w:rPr>
            </w:pPr>
          </w:p>
        </w:tc>
        <w:tc>
          <w:tcPr>
            <w:tcW w:w="1040" w:type="dxa"/>
            <w:tcBorders>
              <w:top w:val="nil"/>
              <w:left w:val="nil"/>
              <w:bottom w:val="nil"/>
              <w:right w:val="nil"/>
            </w:tcBorders>
            <w:noWrap/>
            <w:vAlign w:val="bottom"/>
          </w:tcPr>
          <w:p w14:paraId="325A9958">
            <w:pPr>
              <w:rPr>
                <w:rFonts w:ascii="Arial" w:hAnsi="Arial" w:cs="Arial"/>
                <w:color w:val="000000"/>
                <w:sz w:val="20"/>
                <w:szCs w:val="20"/>
              </w:rPr>
            </w:pPr>
          </w:p>
        </w:tc>
        <w:tc>
          <w:tcPr>
            <w:tcW w:w="473" w:type="dxa"/>
            <w:tcBorders>
              <w:top w:val="nil"/>
              <w:left w:val="nil"/>
              <w:bottom w:val="nil"/>
              <w:right w:val="nil"/>
            </w:tcBorders>
            <w:noWrap/>
            <w:vAlign w:val="bottom"/>
          </w:tcPr>
          <w:p w14:paraId="40F38605">
            <w:pPr>
              <w:rPr>
                <w:rFonts w:ascii="Arial" w:hAnsi="Arial" w:cs="Arial"/>
                <w:color w:val="000000"/>
                <w:sz w:val="20"/>
                <w:szCs w:val="20"/>
              </w:rPr>
            </w:pPr>
          </w:p>
        </w:tc>
        <w:tc>
          <w:tcPr>
            <w:tcW w:w="4513" w:type="dxa"/>
            <w:gridSpan w:val="8"/>
            <w:tcBorders>
              <w:top w:val="nil"/>
              <w:left w:val="nil"/>
              <w:bottom w:val="nil"/>
              <w:right w:val="nil"/>
            </w:tcBorders>
            <w:noWrap/>
            <w:vAlign w:val="bottom"/>
          </w:tcPr>
          <w:p w14:paraId="1472440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部门（单位）公开表2</w:t>
            </w:r>
          </w:p>
        </w:tc>
      </w:tr>
      <w:tr w14:paraId="3DB74A3D">
        <w:tblPrEx>
          <w:tblCellMar>
            <w:top w:w="0" w:type="dxa"/>
            <w:left w:w="108" w:type="dxa"/>
            <w:bottom w:w="0" w:type="dxa"/>
            <w:right w:w="108" w:type="dxa"/>
          </w:tblCellMar>
        </w:tblPrEx>
        <w:trPr>
          <w:trHeight w:val="90" w:hRule="atLeast"/>
        </w:trPr>
        <w:tc>
          <w:tcPr>
            <w:tcW w:w="13455" w:type="dxa"/>
            <w:gridSpan w:val="19"/>
            <w:tcBorders>
              <w:top w:val="nil"/>
              <w:left w:val="nil"/>
              <w:bottom w:val="nil"/>
              <w:right w:val="nil"/>
            </w:tcBorders>
            <w:noWrap/>
            <w:vAlign w:val="center"/>
          </w:tcPr>
          <w:p w14:paraId="054EDC62">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rPr>
              <w:t>表二、2024年收入总表</w:t>
            </w:r>
          </w:p>
        </w:tc>
      </w:tr>
      <w:tr w14:paraId="07854DFA">
        <w:tblPrEx>
          <w:tblCellMar>
            <w:top w:w="0" w:type="dxa"/>
            <w:left w:w="108" w:type="dxa"/>
            <w:bottom w:w="0" w:type="dxa"/>
            <w:right w:w="108" w:type="dxa"/>
          </w:tblCellMar>
        </w:tblPrEx>
        <w:trPr>
          <w:trHeight w:val="90" w:hRule="atLeast"/>
        </w:trPr>
        <w:tc>
          <w:tcPr>
            <w:tcW w:w="6236" w:type="dxa"/>
            <w:gridSpan w:val="7"/>
            <w:tcBorders>
              <w:top w:val="nil"/>
              <w:left w:val="nil"/>
              <w:bottom w:val="nil"/>
              <w:right w:val="nil"/>
            </w:tcBorders>
            <w:noWrap/>
            <w:vAlign w:val="center"/>
          </w:tcPr>
          <w:p w14:paraId="60E005C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[077]黄山市经济和信息化局 </w:t>
            </w:r>
          </w:p>
        </w:tc>
        <w:tc>
          <w:tcPr>
            <w:tcW w:w="477" w:type="dxa"/>
            <w:tcBorders>
              <w:top w:val="nil"/>
              <w:left w:val="nil"/>
              <w:bottom w:val="nil"/>
              <w:right w:val="nil"/>
            </w:tcBorders>
            <w:noWrap/>
            <w:vAlign w:val="bottom"/>
          </w:tcPr>
          <w:p w14:paraId="44E56D14">
            <w:pPr>
              <w:rPr>
                <w:rFonts w:ascii="Arial" w:hAnsi="Arial" w:cs="Arial"/>
                <w:color w:val="000000"/>
                <w:sz w:val="20"/>
                <w:szCs w:val="20"/>
              </w:rPr>
            </w:pPr>
          </w:p>
        </w:tc>
        <w:tc>
          <w:tcPr>
            <w:tcW w:w="716" w:type="dxa"/>
            <w:tcBorders>
              <w:top w:val="nil"/>
              <w:left w:val="nil"/>
              <w:bottom w:val="nil"/>
              <w:right w:val="nil"/>
            </w:tcBorders>
            <w:noWrap/>
            <w:vAlign w:val="bottom"/>
          </w:tcPr>
          <w:p w14:paraId="6BCBFFB2">
            <w:pPr>
              <w:rPr>
                <w:rFonts w:ascii="Arial" w:hAnsi="Arial" w:cs="Arial"/>
                <w:color w:val="000000"/>
                <w:sz w:val="20"/>
                <w:szCs w:val="20"/>
              </w:rPr>
            </w:pPr>
          </w:p>
        </w:tc>
        <w:tc>
          <w:tcPr>
            <w:tcW w:w="1040" w:type="dxa"/>
            <w:tcBorders>
              <w:top w:val="nil"/>
              <w:left w:val="nil"/>
              <w:bottom w:val="nil"/>
              <w:right w:val="nil"/>
            </w:tcBorders>
            <w:noWrap/>
            <w:vAlign w:val="bottom"/>
          </w:tcPr>
          <w:p w14:paraId="470CC8B7">
            <w:pPr>
              <w:rPr>
                <w:rFonts w:ascii="Arial" w:hAnsi="Arial" w:cs="Arial"/>
                <w:color w:val="000000"/>
                <w:sz w:val="20"/>
                <w:szCs w:val="20"/>
              </w:rPr>
            </w:pPr>
          </w:p>
        </w:tc>
        <w:tc>
          <w:tcPr>
            <w:tcW w:w="473" w:type="dxa"/>
            <w:tcBorders>
              <w:top w:val="nil"/>
              <w:left w:val="nil"/>
              <w:bottom w:val="nil"/>
              <w:right w:val="nil"/>
            </w:tcBorders>
            <w:noWrap/>
            <w:vAlign w:val="bottom"/>
          </w:tcPr>
          <w:p w14:paraId="74DD2924">
            <w:pPr>
              <w:rPr>
                <w:rFonts w:ascii="Arial" w:hAnsi="Arial" w:cs="Arial"/>
                <w:color w:val="000000"/>
                <w:sz w:val="20"/>
                <w:szCs w:val="20"/>
              </w:rPr>
            </w:pPr>
          </w:p>
        </w:tc>
        <w:tc>
          <w:tcPr>
            <w:tcW w:w="622" w:type="dxa"/>
            <w:tcBorders>
              <w:top w:val="nil"/>
              <w:left w:val="nil"/>
              <w:bottom w:val="nil"/>
              <w:right w:val="nil"/>
            </w:tcBorders>
            <w:noWrap/>
            <w:vAlign w:val="bottom"/>
          </w:tcPr>
          <w:p w14:paraId="4F635D41">
            <w:pPr>
              <w:rPr>
                <w:rFonts w:ascii="Arial" w:hAnsi="Arial" w:cs="Arial"/>
                <w:color w:val="000000"/>
                <w:sz w:val="20"/>
                <w:szCs w:val="20"/>
              </w:rPr>
            </w:pPr>
          </w:p>
        </w:tc>
        <w:tc>
          <w:tcPr>
            <w:tcW w:w="462" w:type="dxa"/>
            <w:tcBorders>
              <w:top w:val="nil"/>
              <w:left w:val="nil"/>
              <w:bottom w:val="nil"/>
              <w:right w:val="nil"/>
            </w:tcBorders>
            <w:noWrap/>
            <w:vAlign w:val="bottom"/>
          </w:tcPr>
          <w:p w14:paraId="43494201">
            <w:pPr>
              <w:rPr>
                <w:rFonts w:ascii="Arial" w:hAnsi="Arial" w:cs="Arial"/>
                <w:color w:val="000000"/>
                <w:sz w:val="20"/>
                <w:szCs w:val="20"/>
              </w:rPr>
            </w:pPr>
          </w:p>
        </w:tc>
        <w:tc>
          <w:tcPr>
            <w:tcW w:w="3429" w:type="dxa"/>
            <w:gridSpan w:val="6"/>
            <w:tcBorders>
              <w:top w:val="nil"/>
              <w:left w:val="nil"/>
              <w:bottom w:val="nil"/>
              <w:right w:val="nil"/>
            </w:tcBorders>
            <w:noWrap/>
            <w:vAlign w:val="bottom"/>
          </w:tcPr>
          <w:p w14:paraId="54AD5B1B">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单位：万元</w:t>
            </w:r>
          </w:p>
        </w:tc>
      </w:tr>
      <w:tr w14:paraId="297D56F5">
        <w:tblPrEx>
          <w:tblCellMar>
            <w:top w:w="0" w:type="dxa"/>
            <w:left w:w="108" w:type="dxa"/>
            <w:bottom w:w="0" w:type="dxa"/>
            <w:right w:w="108" w:type="dxa"/>
          </w:tblCellMar>
        </w:tblPrEx>
        <w:trPr>
          <w:trHeight w:val="90" w:hRule="atLeast"/>
        </w:trPr>
        <w:tc>
          <w:tcPr>
            <w:tcW w:w="1571" w:type="dxa"/>
            <w:vMerge w:val="restart"/>
            <w:tcBorders>
              <w:top w:val="single" w:color="000000" w:sz="4" w:space="0"/>
              <w:left w:val="single" w:color="000000" w:sz="4" w:space="0"/>
              <w:bottom w:val="single" w:color="000000" w:sz="4" w:space="0"/>
              <w:right w:val="single" w:color="000000" w:sz="4" w:space="0"/>
            </w:tcBorders>
            <w:noWrap/>
            <w:vAlign w:val="center"/>
          </w:tcPr>
          <w:p w14:paraId="620C3B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部门（单位）名称</w:t>
            </w:r>
          </w:p>
        </w:tc>
        <w:tc>
          <w:tcPr>
            <w:tcW w:w="955" w:type="dxa"/>
            <w:vMerge w:val="restart"/>
            <w:tcBorders>
              <w:top w:val="single" w:color="000000" w:sz="4" w:space="0"/>
              <w:left w:val="single" w:color="000000" w:sz="4" w:space="0"/>
              <w:bottom w:val="single" w:color="000000" w:sz="4" w:space="0"/>
              <w:right w:val="single" w:color="000000" w:sz="4" w:space="0"/>
            </w:tcBorders>
            <w:noWrap/>
            <w:vAlign w:val="center"/>
          </w:tcPr>
          <w:p w14:paraId="73A439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0929" w:type="dxa"/>
            <w:gridSpan w:val="17"/>
            <w:tcBorders>
              <w:top w:val="single" w:color="000000" w:sz="4" w:space="0"/>
              <w:left w:val="single" w:color="000000" w:sz="4" w:space="0"/>
              <w:bottom w:val="single" w:color="000000" w:sz="4" w:space="0"/>
              <w:right w:val="single" w:color="000000" w:sz="4" w:space="0"/>
            </w:tcBorders>
            <w:noWrap/>
            <w:vAlign w:val="center"/>
          </w:tcPr>
          <w:p w14:paraId="7C1289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w:t>
            </w:r>
          </w:p>
        </w:tc>
      </w:tr>
      <w:tr w14:paraId="69B4F520">
        <w:tblPrEx>
          <w:tblCellMar>
            <w:top w:w="0" w:type="dxa"/>
            <w:left w:w="108" w:type="dxa"/>
            <w:bottom w:w="0" w:type="dxa"/>
            <w:right w:w="108" w:type="dxa"/>
          </w:tblCellMar>
        </w:tblPrEx>
        <w:trPr>
          <w:trHeight w:val="90" w:hRule="atLeast"/>
        </w:trPr>
        <w:tc>
          <w:tcPr>
            <w:tcW w:w="1571" w:type="dxa"/>
            <w:vMerge w:val="continue"/>
            <w:tcBorders>
              <w:top w:val="single" w:color="000000" w:sz="4" w:space="0"/>
              <w:left w:val="single" w:color="000000" w:sz="4" w:space="0"/>
              <w:bottom w:val="single" w:color="000000" w:sz="4" w:space="0"/>
              <w:right w:val="single" w:color="000000" w:sz="4" w:space="0"/>
            </w:tcBorders>
            <w:noWrap/>
            <w:vAlign w:val="center"/>
          </w:tcPr>
          <w:p w14:paraId="1634C456">
            <w:pPr>
              <w:jc w:val="center"/>
              <w:rPr>
                <w:rFonts w:ascii="宋体" w:hAnsi="宋体" w:cs="宋体"/>
                <w:color w:val="000000"/>
                <w:sz w:val="20"/>
                <w:szCs w:val="20"/>
              </w:rPr>
            </w:pPr>
          </w:p>
        </w:tc>
        <w:tc>
          <w:tcPr>
            <w:tcW w:w="955" w:type="dxa"/>
            <w:vMerge w:val="continue"/>
            <w:tcBorders>
              <w:top w:val="single" w:color="000000" w:sz="4" w:space="0"/>
              <w:left w:val="single" w:color="000000" w:sz="4" w:space="0"/>
              <w:bottom w:val="single" w:color="000000" w:sz="4" w:space="0"/>
              <w:right w:val="single" w:color="000000" w:sz="4" w:space="0"/>
            </w:tcBorders>
            <w:noWrap/>
            <w:vAlign w:val="center"/>
          </w:tcPr>
          <w:p w14:paraId="024F5CB2">
            <w:pPr>
              <w:jc w:val="center"/>
              <w:rPr>
                <w:rFonts w:ascii="宋体" w:hAnsi="宋体" w:cs="宋体"/>
                <w:color w:val="000000"/>
                <w:sz w:val="20"/>
                <w:szCs w:val="20"/>
              </w:rPr>
            </w:pPr>
          </w:p>
        </w:tc>
        <w:tc>
          <w:tcPr>
            <w:tcW w:w="981" w:type="dxa"/>
            <w:vMerge w:val="restart"/>
            <w:tcBorders>
              <w:top w:val="single" w:color="000000" w:sz="4" w:space="0"/>
              <w:left w:val="single" w:color="000000" w:sz="4" w:space="0"/>
              <w:bottom w:val="single" w:color="000000" w:sz="4" w:space="0"/>
              <w:right w:val="single" w:color="000000" w:sz="4" w:space="0"/>
            </w:tcBorders>
            <w:noWrap/>
            <w:vAlign w:val="center"/>
          </w:tcPr>
          <w:p w14:paraId="106F77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859" w:type="dxa"/>
            <w:vMerge w:val="restart"/>
            <w:tcBorders>
              <w:top w:val="single" w:color="000000" w:sz="4" w:space="0"/>
              <w:left w:val="single" w:color="000000" w:sz="4" w:space="0"/>
              <w:bottom w:val="single" w:color="000000" w:sz="4" w:space="0"/>
              <w:right w:val="single" w:color="000000" w:sz="4" w:space="0"/>
            </w:tcBorders>
            <w:noWrap/>
            <w:vAlign w:val="center"/>
          </w:tcPr>
          <w:p w14:paraId="7D2431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一般公共预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算拨款收入</w:t>
            </w:r>
          </w:p>
        </w:tc>
        <w:tc>
          <w:tcPr>
            <w:tcW w:w="682" w:type="dxa"/>
            <w:vMerge w:val="restart"/>
            <w:tcBorders>
              <w:top w:val="single" w:color="000000" w:sz="4" w:space="0"/>
              <w:left w:val="single" w:color="000000" w:sz="4" w:space="0"/>
              <w:bottom w:val="single" w:color="000000" w:sz="4" w:space="0"/>
              <w:right w:val="single" w:color="000000" w:sz="4" w:space="0"/>
            </w:tcBorders>
            <w:noWrap/>
            <w:vAlign w:val="center"/>
          </w:tcPr>
          <w:p w14:paraId="7E6B6C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政府性基金预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算拨款收入</w:t>
            </w:r>
          </w:p>
        </w:tc>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5C314B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国有资本经营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预算拨款收入</w:t>
            </w:r>
          </w:p>
        </w:tc>
        <w:tc>
          <w:tcPr>
            <w:tcW w:w="520" w:type="dxa"/>
            <w:vMerge w:val="restart"/>
            <w:tcBorders>
              <w:top w:val="single" w:color="000000" w:sz="4" w:space="0"/>
              <w:left w:val="single" w:color="000000" w:sz="4" w:space="0"/>
              <w:bottom w:val="single" w:color="000000" w:sz="4" w:space="0"/>
              <w:right w:val="single" w:color="000000" w:sz="4" w:space="0"/>
            </w:tcBorders>
            <w:noWrap/>
            <w:vAlign w:val="center"/>
          </w:tcPr>
          <w:p w14:paraId="73E06A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财政专户管理资金</w:t>
            </w:r>
          </w:p>
        </w:tc>
        <w:tc>
          <w:tcPr>
            <w:tcW w:w="3790" w:type="dxa"/>
            <w:gridSpan w:val="6"/>
            <w:tcBorders>
              <w:top w:val="single" w:color="000000" w:sz="4" w:space="0"/>
              <w:left w:val="single" w:color="000000" w:sz="4" w:space="0"/>
              <w:bottom w:val="single" w:color="000000" w:sz="4" w:space="0"/>
              <w:right w:val="single" w:color="000000" w:sz="4" w:space="0"/>
            </w:tcBorders>
            <w:noWrap/>
            <w:vAlign w:val="center"/>
          </w:tcPr>
          <w:p w14:paraId="59349C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其他收入</w:t>
            </w:r>
          </w:p>
        </w:tc>
        <w:tc>
          <w:tcPr>
            <w:tcW w:w="3429" w:type="dxa"/>
            <w:gridSpan w:val="6"/>
            <w:tcBorders>
              <w:top w:val="single" w:color="000000" w:sz="4" w:space="0"/>
              <w:left w:val="single" w:color="000000" w:sz="4" w:space="0"/>
              <w:bottom w:val="single" w:color="000000" w:sz="4" w:space="0"/>
              <w:right w:val="single" w:color="000000" w:sz="4" w:space="0"/>
            </w:tcBorders>
            <w:noWrap/>
            <w:vAlign w:val="center"/>
          </w:tcPr>
          <w:p w14:paraId="61FE28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上年结转结余</w:t>
            </w:r>
          </w:p>
        </w:tc>
      </w:tr>
      <w:tr w14:paraId="4332C80E">
        <w:tblPrEx>
          <w:tblCellMar>
            <w:top w:w="0" w:type="dxa"/>
            <w:left w:w="108" w:type="dxa"/>
            <w:bottom w:w="0" w:type="dxa"/>
            <w:right w:w="108" w:type="dxa"/>
          </w:tblCellMar>
        </w:tblPrEx>
        <w:trPr>
          <w:trHeight w:val="90" w:hRule="atLeast"/>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BCE7">
            <w:pPr>
              <w:jc w:val="center"/>
              <w:rPr>
                <w:rFonts w:ascii="宋体" w:hAnsi="宋体" w:cs="宋体"/>
                <w:color w:val="000000"/>
                <w:sz w:val="20"/>
                <w:szCs w:val="20"/>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C839">
            <w:pPr>
              <w:jc w:val="center"/>
              <w:rPr>
                <w:rFonts w:ascii="宋体" w:hAnsi="宋体" w:cs="宋体"/>
                <w:color w:val="000000"/>
                <w:sz w:val="20"/>
                <w:szCs w:val="20"/>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1808">
            <w:pPr>
              <w:jc w:val="center"/>
              <w:rPr>
                <w:rFonts w:ascii="宋体" w:hAnsi="宋体" w:cs="宋体"/>
                <w:color w:val="000000"/>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E861">
            <w:pPr>
              <w:jc w:val="center"/>
              <w:rPr>
                <w:rFonts w:ascii="宋体" w:hAnsi="宋体" w:cs="宋体"/>
                <w:color w:val="000000"/>
                <w:sz w:val="20"/>
                <w:szCs w:val="20"/>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5CD3">
            <w:pPr>
              <w:jc w:val="center"/>
              <w:rPr>
                <w:rFonts w:ascii="宋体" w:hAnsi="宋体" w:cs="宋体"/>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D7DE">
            <w:pPr>
              <w:jc w:val="center"/>
              <w:rPr>
                <w:rFonts w:ascii="宋体" w:hAnsi="宋体" w:cs="宋体"/>
                <w:color w:val="000000"/>
                <w:sz w:val="20"/>
                <w:szCs w:val="20"/>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2E59">
            <w:pPr>
              <w:jc w:val="center"/>
              <w:rPr>
                <w:rFonts w:ascii="宋体" w:hAnsi="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EA8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小计</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C00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事业收入</w:t>
            </w:r>
          </w:p>
        </w:tc>
        <w:tc>
          <w:tcPr>
            <w:tcW w:w="1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E7B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事业单位经营收入</w:t>
            </w:r>
          </w:p>
        </w:tc>
        <w:tc>
          <w:tcPr>
            <w:tcW w:w="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C12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上级补助收入</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243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附属单位上缴收入</w:t>
            </w:r>
          </w:p>
        </w:tc>
        <w:tc>
          <w:tcPr>
            <w:tcW w:w="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E5EB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9BE5B2C">
            <w:pPr>
              <w:widowControl/>
              <w:jc w:val="center"/>
              <w:textAlignment w:val="center"/>
              <w:rPr>
                <w:rFonts w:ascii="Calibri" w:hAnsi="Calibri" w:cs="Calibri"/>
                <w:color w:val="000000"/>
                <w:sz w:val="18"/>
                <w:szCs w:val="18"/>
              </w:rPr>
            </w:pPr>
            <w:r>
              <w:rPr>
                <w:rFonts w:ascii="Calibri" w:hAnsi="Calibri" w:cs="Calibri"/>
                <w:color w:val="000000"/>
                <w:kern w:val="0"/>
                <w:sz w:val="18"/>
                <w:szCs w:val="18"/>
              </w:rPr>
              <w:t>小计</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308D9DA">
            <w:pPr>
              <w:widowControl/>
              <w:jc w:val="center"/>
              <w:textAlignment w:val="center"/>
              <w:rPr>
                <w:rFonts w:ascii="Calibri" w:hAnsi="Calibri" w:cs="Calibri"/>
                <w:color w:val="000000"/>
                <w:sz w:val="18"/>
                <w:szCs w:val="18"/>
              </w:rPr>
            </w:pPr>
            <w:r>
              <w:rPr>
                <w:rFonts w:ascii="Calibri" w:hAnsi="Calibri" w:cs="Calibri"/>
                <w:color w:val="000000"/>
                <w:kern w:val="0"/>
                <w:sz w:val="18"/>
                <w:szCs w:val="18"/>
              </w:rPr>
              <w:t>一般公共预算</w:t>
            </w:r>
          </w:p>
        </w:tc>
        <w:tc>
          <w:tcPr>
            <w:tcW w:w="371" w:type="dxa"/>
            <w:tcBorders>
              <w:top w:val="single" w:color="000000" w:sz="4" w:space="0"/>
              <w:left w:val="single" w:color="000000" w:sz="4" w:space="0"/>
              <w:bottom w:val="single" w:color="000000" w:sz="4" w:space="0"/>
              <w:right w:val="single" w:color="000000" w:sz="4" w:space="0"/>
            </w:tcBorders>
            <w:noWrap/>
            <w:vAlign w:val="center"/>
          </w:tcPr>
          <w:p w14:paraId="3FFCCDC5">
            <w:pPr>
              <w:widowControl/>
              <w:jc w:val="center"/>
              <w:textAlignment w:val="center"/>
              <w:rPr>
                <w:rFonts w:ascii="Calibri" w:hAnsi="Calibri" w:cs="Calibri"/>
                <w:color w:val="000000"/>
                <w:sz w:val="18"/>
                <w:szCs w:val="18"/>
              </w:rPr>
            </w:pPr>
            <w:r>
              <w:rPr>
                <w:rFonts w:ascii="Calibri" w:hAnsi="Calibri" w:cs="Calibri"/>
                <w:color w:val="000000"/>
                <w:kern w:val="0"/>
                <w:sz w:val="18"/>
                <w:szCs w:val="18"/>
              </w:rPr>
              <w:t>政府性基金预算</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7B9BE253">
            <w:pPr>
              <w:widowControl/>
              <w:jc w:val="center"/>
              <w:textAlignment w:val="center"/>
              <w:rPr>
                <w:rFonts w:ascii="Calibri" w:hAnsi="Calibri" w:cs="Calibri"/>
                <w:color w:val="000000"/>
                <w:sz w:val="18"/>
                <w:szCs w:val="18"/>
              </w:rPr>
            </w:pPr>
            <w:r>
              <w:rPr>
                <w:rFonts w:ascii="Calibri" w:hAnsi="Calibri" w:cs="Calibri"/>
                <w:color w:val="000000"/>
                <w:kern w:val="0"/>
                <w:sz w:val="18"/>
                <w:szCs w:val="18"/>
              </w:rPr>
              <w:t>国有资本经营预算</w:t>
            </w: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84A1E58">
            <w:pPr>
              <w:widowControl/>
              <w:jc w:val="center"/>
              <w:textAlignment w:val="center"/>
              <w:rPr>
                <w:rFonts w:ascii="Calibri" w:hAnsi="Calibri" w:cs="Calibri"/>
                <w:color w:val="000000"/>
                <w:sz w:val="18"/>
                <w:szCs w:val="18"/>
              </w:rPr>
            </w:pPr>
            <w:r>
              <w:rPr>
                <w:rFonts w:ascii="Calibri" w:hAnsi="Calibri" w:cs="Calibri"/>
                <w:color w:val="000000"/>
                <w:kern w:val="0"/>
                <w:sz w:val="18"/>
                <w:szCs w:val="18"/>
              </w:rPr>
              <w:t>财政专户管理资金</w:t>
            </w:r>
          </w:p>
        </w:tc>
        <w:tc>
          <w:tcPr>
            <w:tcW w:w="471" w:type="dxa"/>
            <w:tcBorders>
              <w:top w:val="single" w:color="000000" w:sz="4" w:space="0"/>
              <w:left w:val="single" w:color="000000" w:sz="4" w:space="0"/>
              <w:bottom w:val="single" w:color="000000" w:sz="4" w:space="0"/>
              <w:right w:val="single" w:color="000000" w:sz="4" w:space="0"/>
            </w:tcBorders>
            <w:noWrap/>
            <w:vAlign w:val="center"/>
          </w:tcPr>
          <w:p w14:paraId="0FE9EEBA">
            <w:pPr>
              <w:widowControl/>
              <w:jc w:val="center"/>
              <w:textAlignment w:val="center"/>
              <w:rPr>
                <w:rFonts w:ascii="Calibri" w:hAnsi="Calibri" w:cs="Calibri"/>
                <w:color w:val="000000"/>
                <w:sz w:val="18"/>
                <w:szCs w:val="18"/>
              </w:rPr>
            </w:pPr>
            <w:r>
              <w:rPr>
                <w:rFonts w:ascii="Calibri" w:hAnsi="Calibri" w:cs="Calibri"/>
                <w:color w:val="000000"/>
                <w:kern w:val="0"/>
                <w:sz w:val="18"/>
                <w:szCs w:val="18"/>
              </w:rPr>
              <w:t>其他资金</w:t>
            </w:r>
          </w:p>
        </w:tc>
      </w:tr>
      <w:tr w14:paraId="3428A439">
        <w:tblPrEx>
          <w:tblCellMar>
            <w:top w:w="0" w:type="dxa"/>
            <w:left w:w="108" w:type="dxa"/>
            <w:bottom w:w="0" w:type="dxa"/>
            <w:right w:w="108" w:type="dxa"/>
          </w:tblCellMar>
        </w:tblPrEx>
        <w:trPr>
          <w:trHeight w:val="90" w:hRule="atLeast"/>
        </w:trPr>
        <w:tc>
          <w:tcPr>
            <w:tcW w:w="1571" w:type="dxa"/>
            <w:tcBorders>
              <w:top w:val="single" w:color="000000" w:sz="4" w:space="0"/>
              <w:left w:val="single" w:color="000000" w:sz="4" w:space="0"/>
              <w:bottom w:val="single" w:color="000000" w:sz="4" w:space="0"/>
              <w:right w:val="single" w:color="000000" w:sz="4" w:space="0"/>
            </w:tcBorders>
            <w:noWrap/>
            <w:vAlign w:val="center"/>
          </w:tcPr>
          <w:p w14:paraId="17B69E48">
            <w:pPr>
              <w:widowControl/>
              <w:jc w:val="left"/>
              <w:textAlignment w:val="center"/>
              <w:rPr>
                <w:rFonts w:ascii="Calibri" w:hAnsi="Calibri" w:cs="Calibri"/>
                <w:b/>
                <w:bCs/>
                <w:color w:val="000000"/>
                <w:sz w:val="22"/>
                <w:szCs w:val="22"/>
              </w:rPr>
            </w:pPr>
            <w:r>
              <w:rPr>
                <w:rFonts w:ascii="Calibri" w:hAnsi="Calibri" w:cs="Calibri"/>
                <w:b/>
                <w:bCs/>
                <w:color w:val="000000"/>
                <w:kern w:val="0"/>
                <w:sz w:val="22"/>
                <w:szCs w:val="22"/>
              </w:rPr>
              <w:t>合计</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31CE9D86">
            <w:pPr>
              <w:widowControl/>
              <w:jc w:val="right"/>
              <w:textAlignment w:val="center"/>
              <w:rPr>
                <w:rFonts w:ascii="Calibri" w:hAnsi="Calibri" w:cs="Calibri"/>
                <w:b/>
                <w:bCs/>
                <w:color w:val="000000"/>
                <w:sz w:val="22"/>
                <w:szCs w:val="22"/>
              </w:rPr>
            </w:pPr>
            <w:r>
              <w:rPr>
                <w:rFonts w:ascii="Calibri" w:hAnsi="Calibri" w:cs="Calibri"/>
                <w:b/>
                <w:bCs/>
                <w:color w:val="000000"/>
                <w:kern w:val="0"/>
                <w:sz w:val="22"/>
                <w:szCs w:val="22"/>
              </w:rPr>
              <w:t>748.65</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47302309">
            <w:pPr>
              <w:widowControl/>
              <w:jc w:val="right"/>
              <w:textAlignment w:val="center"/>
              <w:rPr>
                <w:rFonts w:ascii="Calibri" w:hAnsi="Calibri" w:cs="Calibri"/>
                <w:b/>
                <w:bCs/>
                <w:color w:val="000000"/>
                <w:sz w:val="22"/>
                <w:szCs w:val="22"/>
              </w:rPr>
            </w:pPr>
            <w:r>
              <w:rPr>
                <w:rFonts w:ascii="Calibri" w:hAnsi="Calibri" w:cs="Calibri"/>
                <w:b/>
                <w:bCs/>
                <w:color w:val="000000"/>
                <w:kern w:val="0"/>
                <w:sz w:val="22"/>
                <w:szCs w:val="22"/>
              </w:rPr>
              <w:t>732.91</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129D401A">
            <w:pPr>
              <w:widowControl/>
              <w:jc w:val="right"/>
              <w:textAlignment w:val="center"/>
              <w:rPr>
                <w:rFonts w:ascii="Calibri" w:hAnsi="Calibri" w:cs="Calibri"/>
                <w:b/>
                <w:bCs/>
                <w:color w:val="000000"/>
                <w:sz w:val="22"/>
                <w:szCs w:val="22"/>
              </w:rPr>
            </w:pPr>
            <w:r>
              <w:rPr>
                <w:rFonts w:ascii="Calibri" w:hAnsi="Calibri" w:cs="Calibri"/>
                <w:b/>
                <w:bCs/>
                <w:color w:val="000000"/>
                <w:kern w:val="0"/>
                <w:sz w:val="22"/>
                <w:szCs w:val="22"/>
              </w:rPr>
              <w:t>732.91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B8949C3">
            <w:pPr>
              <w:rPr>
                <w:rFonts w:ascii="Calibri" w:hAnsi="Calibri" w:cs="Calibri"/>
                <w:b/>
                <w:bCs/>
                <w:color w:val="000000"/>
                <w:sz w:val="22"/>
                <w:szCs w:val="22"/>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84678A9">
            <w:pPr>
              <w:rPr>
                <w:rFonts w:ascii="Calibri" w:hAnsi="Calibri" w:cs="Calibri"/>
                <w:b/>
                <w:bCs/>
                <w:color w:val="000000"/>
                <w:sz w:val="22"/>
                <w:szCs w:val="22"/>
              </w:rPr>
            </w:pP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2460CC27">
            <w:pPr>
              <w:rPr>
                <w:rFonts w:ascii="Calibri" w:hAnsi="Calibri" w:cs="Calibri"/>
                <w:b/>
                <w:bCs/>
                <w:color w:val="000000"/>
                <w:sz w:val="22"/>
                <w:szCs w:val="22"/>
              </w:rPr>
            </w:pPr>
          </w:p>
        </w:tc>
        <w:tc>
          <w:tcPr>
            <w:tcW w:w="477" w:type="dxa"/>
            <w:tcBorders>
              <w:top w:val="single" w:color="000000" w:sz="4" w:space="0"/>
              <w:left w:val="single" w:color="000000" w:sz="4" w:space="0"/>
              <w:bottom w:val="single" w:color="000000" w:sz="4" w:space="0"/>
              <w:right w:val="single" w:color="000000" w:sz="4" w:space="0"/>
            </w:tcBorders>
            <w:noWrap/>
            <w:vAlign w:val="center"/>
          </w:tcPr>
          <w:p w14:paraId="0C3926F5">
            <w:pPr>
              <w:rPr>
                <w:rFonts w:ascii="Calibri" w:hAnsi="Calibri" w:cs="Calibri"/>
                <w:b/>
                <w:bCs/>
                <w:color w:val="000000"/>
                <w:sz w:val="22"/>
                <w:szCs w:val="22"/>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BA0C593">
            <w:pPr>
              <w:rPr>
                <w:rFonts w:ascii="Calibri" w:hAnsi="Calibri" w:cs="Calibri"/>
                <w:b/>
                <w:bCs/>
                <w:color w:val="000000"/>
                <w:sz w:val="22"/>
                <w:szCs w:val="22"/>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0F976E30">
            <w:pPr>
              <w:rPr>
                <w:rFonts w:ascii="Calibri" w:hAnsi="Calibri" w:cs="Calibri"/>
                <w:b/>
                <w:bCs/>
                <w:color w:val="000000"/>
                <w:sz w:val="22"/>
                <w:szCs w:val="22"/>
              </w:rPr>
            </w:pPr>
          </w:p>
        </w:tc>
        <w:tc>
          <w:tcPr>
            <w:tcW w:w="473" w:type="dxa"/>
            <w:tcBorders>
              <w:top w:val="single" w:color="000000" w:sz="4" w:space="0"/>
              <w:left w:val="single" w:color="000000" w:sz="4" w:space="0"/>
              <w:bottom w:val="single" w:color="000000" w:sz="4" w:space="0"/>
              <w:right w:val="single" w:color="000000" w:sz="4" w:space="0"/>
            </w:tcBorders>
            <w:noWrap/>
            <w:vAlign w:val="center"/>
          </w:tcPr>
          <w:p w14:paraId="6D33C759">
            <w:pPr>
              <w:rPr>
                <w:rFonts w:ascii="Calibri" w:hAnsi="Calibri" w:cs="Calibri"/>
                <w:b/>
                <w:bCs/>
                <w:color w:val="000000"/>
                <w:sz w:val="22"/>
                <w:szCs w:val="22"/>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14:paraId="01C9821C">
            <w:pPr>
              <w:rPr>
                <w:rFonts w:ascii="Calibri" w:hAnsi="Calibri" w:cs="Calibri"/>
                <w:b/>
                <w:bCs/>
                <w:color w:val="000000"/>
                <w:sz w:val="22"/>
                <w:szCs w:val="22"/>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52DF4DA3">
            <w:pPr>
              <w:rPr>
                <w:rFonts w:ascii="Calibri" w:hAnsi="Calibri" w:cs="Calibri"/>
                <w:b/>
                <w:bCs/>
                <w:color w:val="000000"/>
                <w:sz w:val="22"/>
                <w:szCs w:val="22"/>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1AC5FFB3">
            <w:pPr>
              <w:widowControl/>
              <w:jc w:val="right"/>
              <w:textAlignment w:val="center"/>
              <w:rPr>
                <w:rFonts w:ascii="Calibri" w:hAnsi="Calibri" w:cs="Calibri"/>
                <w:b/>
                <w:bCs/>
                <w:color w:val="000000"/>
                <w:sz w:val="22"/>
                <w:szCs w:val="22"/>
              </w:rPr>
            </w:pPr>
            <w:r>
              <w:rPr>
                <w:rFonts w:ascii="Calibri" w:hAnsi="Calibri" w:cs="Calibri"/>
                <w:b/>
                <w:bCs/>
                <w:color w:val="000000"/>
                <w:kern w:val="0"/>
                <w:sz w:val="22"/>
                <w:szCs w:val="22"/>
              </w:rPr>
              <w:t>15.74</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B0109F9">
            <w:pPr>
              <w:widowControl/>
              <w:jc w:val="right"/>
              <w:textAlignment w:val="center"/>
              <w:rPr>
                <w:rFonts w:ascii="Calibri" w:hAnsi="Calibri" w:cs="Calibri"/>
                <w:b/>
                <w:bCs/>
                <w:color w:val="000000"/>
                <w:sz w:val="22"/>
                <w:szCs w:val="22"/>
              </w:rPr>
            </w:pPr>
            <w:r>
              <w:rPr>
                <w:rFonts w:ascii="Calibri" w:hAnsi="Calibri" w:cs="Calibri"/>
                <w:b/>
                <w:bCs/>
                <w:color w:val="000000"/>
                <w:kern w:val="0"/>
                <w:sz w:val="22"/>
                <w:szCs w:val="22"/>
              </w:rPr>
              <w:t>15.74</w:t>
            </w:r>
          </w:p>
        </w:tc>
        <w:tc>
          <w:tcPr>
            <w:tcW w:w="371" w:type="dxa"/>
            <w:tcBorders>
              <w:top w:val="single" w:color="000000" w:sz="4" w:space="0"/>
              <w:left w:val="single" w:color="000000" w:sz="4" w:space="0"/>
              <w:bottom w:val="single" w:color="000000" w:sz="4" w:space="0"/>
              <w:right w:val="single" w:color="000000" w:sz="4" w:space="0"/>
            </w:tcBorders>
            <w:noWrap/>
            <w:vAlign w:val="center"/>
          </w:tcPr>
          <w:p w14:paraId="56841F5F">
            <w:pPr>
              <w:rPr>
                <w:rFonts w:ascii="Calibri" w:hAnsi="Calibri" w:cs="Calibri"/>
                <w:b/>
                <w:bCs/>
                <w:color w:val="000000"/>
                <w:sz w:val="22"/>
                <w:szCs w:val="22"/>
              </w:rPr>
            </w:pP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08C67F8B">
            <w:pPr>
              <w:rPr>
                <w:rFonts w:ascii="Calibri" w:hAnsi="Calibri" w:cs="Calibri"/>
                <w:b/>
                <w:bCs/>
                <w:color w:val="000000"/>
                <w:sz w:val="22"/>
                <w:szCs w:val="22"/>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328209A">
            <w:pPr>
              <w:rPr>
                <w:rFonts w:ascii="Calibri" w:hAnsi="Calibri" w:cs="Calibri"/>
                <w:b/>
                <w:bCs/>
                <w:color w:val="000000"/>
                <w:sz w:val="22"/>
                <w:szCs w:val="22"/>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14:paraId="6803B686">
            <w:pPr>
              <w:rPr>
                <w:rFonts w:ascii="Calibri" w:hAnsi="Calibri" w:cs="Calibri"/>
                <w:b/>
                <w:bCs/>
                <w:color w:val="000000"/>
                <w:sz w:val="22"/>
                <w:szCs w:val="22"/>
              </w:rPr>
            </w:pPr>
          </w:p>
        </w:tc>
      </w:tr>
      <w:tr w14:paraId="6136CE91">
        <w:tblPrEx>
          <w:tblCellMar>
            <w:top w:w="0" w:type="dxa"/>
            <w:left w:w="108" w:type="dxa"/>
            <w:bottom w:w="0" w:type="dxa"/>
            <w:right w:w="108" w:type="dxa"/>
          </w:tblCellMar>
        </w:tblPrEx>
        <w:trPr>
          <w:trHeight w:val="90" w:hRule="atLeast"/>
        </w:trPr>
        <w:tc>
          <w:tcPr>
            <w:tcW w:w="1571" w:type="dxa"/>
            <w:tcBorders>
              <w:top w:val="single" w:color="000000" w:sz="4" w:space="0"/>
              <w:left w:val="single" w:color="000000" w:sz="4" w:space="0"/>
              <w:bottom w:val="single" w:color="000000" w:sz="4" w:space="0"/>
              <w:right w:val="single" w:color="000000" w:sz="4" w:space="0"/>
            </w:tcBorders>
            <w:noWrap/>
            <w:vAlign w:val="center"/>
          </w:tcPr>
          <w:p w14:paraId="4C81FE6D">
            <w:pPr>
              <w:widowControl/>
              <w:jc w:val="left"/>
              <w:textAlignment w:val="center"/>
              <w:rPr>
                <w:rFonts w:ascii="Calibri" w:hAnsi="Calibri" w:cs="Calibri"/>
                <w:b/>
                <w:bCs/>
                <w:color w:val="000000"/>
                <w:sz w:val="22"/>
                <w:szCs w:val="22"/>
              </w:rPr>
            </w:pPr>
            <w:r>
              <w:rPr>
                <w:rFonts w:ascii="Calibri" w:hAnsi="Calibri" w:cs="Calibri"/>
                <w:b/>
                <w:bCs/>
                <w:color w:val="000000"/>
                <w:kern w:val="0"/>
                <w:sz w:val="22"/>
                <w:szCs w:val="22"/>
              </w:rPr>
              <w:t>黄山市经济和信息化局</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77767FFF">
            <w:pPr>
              <w:widowControl/>
              <w:jc w:val="right"/>
              <w:textAlignment w:val="center"/>
              <w:rPr>
                <w:rFonts w:ascii="Calibri" w:hAnsi="Calibri" w:cs="Calibri"/>
                <w:b/>
                <w:bCs/>
                <w:color w:val="000000"/>
                <w:sz w:val="22"/>
                <w:szCs w:val="22"/>
              </w:rPr>
            </w:pPr>
            <w:r>
              <w:rPr>
                <w:rFonts w:ascii="Calibri" w:hAnsi="Calibri" w:cs="Calibri"/>
                <w:b/>
                <w:bCs/>
                <w:color w:val="000000"/>
                <w:kern w:val="0"/>
                <w:sz w:val="22"/>
                <w:szCs w:val="22"/>
              </w:rPr>
              <w:t>748.65</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3E38EDBA">
            <w:pPr>
              <w:widowControl/>
              <w:jc w:val="right"/>
              <w:textAlignment w:val="center"/>
              <w:rPr>
                <w:rFonts w:ascii="Calibri" w:hAnsi="Calibri" w:cs="Calibri"/>
                <w:b/>
                <w:bCs/>
                <w:color w:val="000000"/>
                <w:sz w:val="22"/>
                <w:szCs w:val="22"/>
              </w:rPr>
            </w:pPr>
            <w:r>
              <w:rPr>
                <w:rFonts w:ascii="Calibri" w:hAnsi="Calibri" w:cs="Calibri"/>
                <w:b/>
                <w:bCs/>
                <w:color w:val="000000"/>
                <w:kern w:val="0"/>
                <w:sz w:val="22"/>
                <w:szCs w:val="22"/>
              </w:rPr>
              <w:t>732.91</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3986DE8D">
            <w:pPr>
              <w:widowControl/>
              <w:jc w:val="right"/>
              <w:textAlignment w:val="center"/>
              <w:rPr>
                <w:rFonts w:ascii="Calibri" w:hAnsi="Calibri" w:cs="Calibri"/>
                <w:b/>
                <w:bCs/>
                <w:color w:val="000000"/>
                <w:sz w:val="22"/>
                <w:szCs w:val="22"/>
              </w:rPr>
            </w:pPr>
            <w:r>
              <w:rPr>
                <w:rFonts w:ascii="Calibri" w:hAnsi="Calibri" w:cs="Calibri"/>
                <w:b/>
                <w:bCs/>
                <w:color w:val="000000"/>
                <w:kern w:val="0"/>
                <w:sz w:val="22"/>
                <w:szCs w:val="22"/>
              </w:rPr>
              <w:t>732.91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00F9AE8">
            <w:pPr>
              <w:rPr>
                <w:rFonts w:ascii="Calibri" w:hAnsi="Calibri" w:cs="Calibri"/>
                <w:b/>
                <w:bCs/>
                <w:color w:val="000000"/>
                <w:sz w:val="22"/>
                <w:szCs w:val="22"/>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3E41A41">
            <w:pPr>
              <w:rPr>
                <w:rFonts w:ascii="Calibri" w:hAnsi="Calibri" w:cs="Calibri"/>
                <w:b/>
                <w:bCs/>
                <w:color w:val="000000"/>
                <w:sz w:val="22"/>
                <w:szCs w:val="22"/>
              </w:rPr>
            </w:pP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76BFC63F">
            <w:pPr>
              <w:rPr>
                <w:rFonts w:ascii="Calibri" w:hAnsi="Calibri" w:cs="Calibri"/>
                <w:b/>
                <w:bCs/>
                <w:color w:val="000000"/>
                <w:sz w:val="22"/>
                <w:szCs w:val="22"/>
              </w:rPr>
            </w:pPr>
          </w:p>
        </w:tc>
        <w:tc>
          <w:tcPr>
            <w:tcW w:w="477" w:type="dxa"/>
            <w:tcBorders>
              <w:top w:val="single" w:color="000000" w:sz="4" w:space="0"/>
              <w:left w:val="single" w:color="000000" w:sz="4" w:space="0"/>
              <w:bottom w:val="single" w:color="000000" w:sz="4" w:space="0"/>
              <w:right w:val="single" w:color="000000" w:sz="4" w:space="0"/>
            </w:tcBorders>
            <w:noWrap/>
            <w:vAlign w:val="center"/>
          </w:tcPr>
          <w:p w14:paraId="24AE70DF">
            <w:pPr>
              <w:rPr>
                <w:rFonts w:ascii="Calibri" w:hAnsi="Calibri" w:cs="Calibri"/>
                <w:b/>
                <w:bCs/>
                <w:color w:val="000000"/>
                <w:sz w:val="22"/>
                <w:szCs w:val="22"/>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5784B61">
            <w:pPr>
              <w:rPr>
                <w:rFonts w:ascii="Calibri" w:hAnsi="Calibri" w:cs="Calibri"/>
                <w:b/>
                <w:bCs/>
                <w:color w:val="000000"/>
                <w:sz w:val="22"/>
                <w:szCs w:val="22"/>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3F013D85">
            <w:pPr>
              <w:rPr>
                <w:rFonts w:ascii="Calibri" w:hAnsi="Calibri" w:cs="Calibri"/>
                <w:b/>
                <w:bCs/>
                <w:color w:val="000000"/>
                <w:sz w:val="22"/>
                <w:szCs w:val="22"/>
              </w:rPr>
            </w:pPr>
          </w:p>
        </w:tc>
        <w:tc>
          <w:tcPr>
            <w:tcW w:w="473" w:type="dxa"/>
            <w:tcBorders>
              <w:top w:val="single" w:color="000000" w:sz="4" w:space="0"/>
              <w:left w:val="single" w:color="000000" w:sz="4" w:space="0"/>
              <w:bottom w:val="single" w:color="000000" w:sz="4" w:space="0"/>
              <w:right w:val="single" w:color="000000" w:sz="4" w:space="0"/>
            </w:tcBorders>
            <w:noWrap/>
            <w:vAlign w:val="center"/>
          </w:tcPr>
          <w:p w14:paraId="60633B7A">
            <w:pPr>
              <w:rPr>
                <w:rFonts w:ascii="Calibri" w:hAnsi="Calibri" w:cs="Calibri"/>
                <w:b/>
                <w:bCs/>
                <w:color w:val="000000"/>
                <w:sz w:val="22"/>
                <w:szCs w:val="22"/>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14:paraId="549EC095">
            <w:pPr>
              <w:rPr>
                <w:rFonts w:ascii="Calibri" w:hAnsi="Calibri" w:cs="Calibri"/>
                <w:b/>
                <w:bCs/>
                <w:color w:val="000000"/>
                <w:sz w:val="22"/>
                <w:szCs w:val="22"/>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69DB0D56">
            <w:pPr>
              <w:rPr>
                <w:rFonts w:ascii="Calibri" w:hAnsi="Calibri" w:cs="Calibri"/>
                <w:b/>
                <w:bCs/>
                <w:color w:val="000000"/>
                <w:sz w:val="22"/>
                <w:szCs w:val="22"/>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04949014">
            <w:pPr>
              <w:widowControl/>
              <w:jc w:val="right"/>
              <w:textAlignment w:val="center"/>
              <w:rPr>
                <w:rFonts w:ascii="Calibri" w:hAnsi="Calibri" w:cs="Calibri"/>
                <w:b/>
                <w:bCs/>
                <w:color w:val="000000"/>
                <w:sz w:val="22"/>
                <w:szCs w:val="22"/>
              </w:rPr>
            </w:pPr>
            <w:r>
              <w:rPr>
                <w:rFonts w:ascii="Calibri" w:hAnsi="Calibri" w:cs="Calibri"/>
                <w:b/>
                <w:bCs/>
                <w:color w:val="000000"/>
                <w:kern w:val="0"/>
                <w:sz w:val="22"/>
                <w:szCs w:val="22"/>
              </w:rPr>
              <w:t>15.74</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DC1FFFA">
            <w:pPr>
              <w:widowControl/>
              <w:jc w:val="right"/>
              <w:textAlignment w:val="center"/>
              <w:rPr>
                <w:rFonts w:ascii="Calibri" w:hAnsi="Calibri" w:cs="Calibri"/>
                <w:b/>
                <w:bCs/>
                <w:color w:val="000000"/>
                <w:sz w:val="22"/>
                <w:szCs w:val="22"/>
              </w:rPr>
            </w:pPr>
            <w:r>
              <w:rPr>
                <w:rFonts w:ascii="Calibri" w:hAnsi="Calibri" w:cs="Calibri"/>
                <w:b/>
                <w:bCs/>
                <w:color w:val="000000"/>
                <w:kern w:val="0"/>
                <w:sz w:val="22"/>
                <w:szCs w:val="22"/>
              </w:rPr>
              <w:t>15.74</w:t>
            </w:r>
          </w:p>
        </w:tc>
        <w:tc>
          <w:tcPr>
            <w:tcW w:w="371" w:type="dxa"/>
            <w:tcBorders>
              <w:top w:val="single" w:color="000000" w:sz="4" w:space="0"/>
              <w:left w:val="single" w:color="000000" w:sz="4" w:space="0"/>
              <w:bottom w:val="single" w:color="000000" w:sz="4" w:space="0"/>
              <w:right w:val="single" w:color="000000" w:sz="4" w:space="0"/>
            </w:tcBorders>
            <w:noWrap/>
            <w:vAlign w:val="center"/>
          </w:tcPr>
          <w:p w14:paraId="0C68F0C9">
            <w:pPr>
              <w:rPr>
                <w:rFonts w:ascii="Calibri" w:hAnsi="Calibri" w:cs="Calibri"/>
                <w:b/>
                <w:bCs/>
                <w:color w:val="000000"/>
                <w:sz w:val="22"/>
                <w:szCs w:val="22"/>
              </w:rPr>
            </w:pP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5CBECDD8">
            <w:pPr>
              <w:rPr>
                <w:rFonts w:ascii="Calibri" w:hAnsi="Calibri" w:cs="Calibri"/>
                <w:b/>
                <w:bCs/>
                <w:color w:val="000000"/>
                <w:sz w:val="22"/>
                <w:szCs w:val="22"/>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548AEAF2">
            <w:pPr>
              <w:rPr>
                <w:rFonts w:ascii="Calibri" w:hAnsi="Calibri" w:cs="Calibri"/>
                <w:b/>
                <w:bCs/>
                <w:color w:val="000000"/>
                <w:sz w:val="22"/>
                <w:szCs w:val="22"/>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14:paraId="1B0EE06C">
            <w:pPr>
              <w:rPr>
                <w:rFonts w:ascii="Calibri" w:hAnsi="Calibri" w:cs="Calibri"/>
                <w:b/>
                <w:bCs/>
                <w:color w:val="000000"/>
                <w:sz w:val="22"/>
                <w:szCs w:val="22"/>
              </w:rPr>
            </w:pPr>
          </w:p>
        </w:tc>
      </w:tr>
      <w:tr w14:paraId="75F7460E">
        <w:tblPrEx>
          <w:tblCellMar>
            <w:top w:w="0" w:type="dxa"/>
            <w:left w:w="108" w:type="dxa"/>
            <w:bottom w:w="0" w:type="dxa"/>
            <w:right w:w="108" w:type="dxa"/>
          </w:tblCellMar>
        </w:tblPrEx>
        <w:trPr>
          <w:trHeight w:val="90" w:hRule="atLeast"/>
        </w:trPr>
        <w:tc>
          <w:tcPr>
            <w:tcW w:w="1571" w:type="dxa"/>
            <w:tcBorders>
              <w:top w:val="single" w:color="000000" w:sz="4" w:space="0"/>
              <w:left w:val="single" w:color="000000" w:sz="4" w:space="0"/>
              <w:bottom w:val="single" w:color="000000" w:sz="4" w:space="0"/>
              <w:right w:val="single" w:color="000000" w:sz="4" w:space="0"/>
            </w:tcBorders>
            <w:noWrap/>
            <w:vAlign w:val="center"/>
          </w:tcPr>
          <w:p w14:paraId="68707F08">
            <w:pPr>
              <w:widowControl/>
              <w:jc w:val="left"/>
              <w:textAlignment w:val="center"/>
              <w:rPr>
                <w:rFonts w:ascii="Calibri" w:hAnsi="Calibri" w:cs="Calibri"/>
                <w:color w:val="000000"/>
                <w:sz w:val="22"/>
                <w:szCs w:val="22"/>
              </w:rPr>
            </w:pPr>
            <w:r>
              <w:rPr>
                <w:rFonts w:ascii="Calibri" w:hAnsi="Calibri" w:cs="Calibri"/>
                <w:color w:val="000000"/>
                <w:kern w:val="0"/>
                <w:sz w:val="22"/>
                <w:szCs w:val="22"/>
              </w:rPr>
              <w:t>　黄山市经济和信息化局</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3CD40B26">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748.65</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4355A28E">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732.91</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3AD9066F">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732.91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C745DDF">
            <w:pPr>
              <w:rPr>
                <w:rFonts w:ascii="Calibri" w:hAnsi="Calibri" w:cs="Calibri"/>
                <w:color w:val="000000"/>
                <w:sz w:val="22"/>
                <w:szCs w:val="22"/>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295D6A1">
            <w:pPr>
              <w:rPr>
                <w:rFonts w:ascii="Calibri" w:hAnsi="Calibri" w:cs="Calibri"/>
                <w:color w:val="000000"/>
                <w:sz w:val="22"/>
                <w:szCs w:val="22"/>
              </w:rPr>
            </w:pP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16176D15">
            <w:pPr>
              <w:rPr>
                <w:rFonts w:ascii="Calibri" w:hAnsi="Calibri" w:cs="Calibri"/>
                <w:color w:val="000000"/>
                <w:sz w:val="22"/>
                <w:szCs w:val="22"/>
              </w:rPr>
            </w:pPr>
          </w:p>
        </w:tc>
        <w:tc>
          <w:tcPr>
            <w:tcW w:w="477" w:type="dxa"/>
            <w:tcBorders>
              <w:top w:val="single" w:color="000000" w:sz="4" w:space="0"/>
              <w:left w:val="single" w:color="000000" w:sz="4" w:space="0"/>
              <w:bottom w:val="single" w:color="000000" w:sz="4" w:space="0"/>
              <w:right w:val="single" w:color="000000" w:sz="4" w:space="0"/>
            </w:tcBorders>
            <w:noWrap/>
            <w:vAlign w:val="center"/>
          </w:tcPr>
          <w:p w14:paraId="183D2E06">
            <w:pPr>
              <w:rPr>
                <w:rFonts w:ascii="Calibri" w:hAnsi="Calibri" w:cs="Calibri"/>
                <w:color w:val="000000"/>
                <w:sz w:val="22"/>
                <w:szCs w:val="22"/>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0D8B614">
            <w:pPr>
              <w:rPr>
                <w:rFonts w:ascii="Calibri" w:hAnsi="Calibri" w:cs="Calibri"/>
                <w:color w:val="000000"/>
                <w:sz w:val="22"/>
                <w:szCs w:val="22"/>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391C8D26">
            <w:pPr>
              <w:rPr>
                <w:rFonts w:ascii="Calibri" w:hAnsi="Calibri" w:cs="Calibri"/>
                <w:color w:val="000000"/>
                <w:sz w:val="22"/>
                <w:szCs w:val="22"/>
              </w:rPr>
            </w:pPr>
          </w:p>
        </w:tc>
        <w:tc>
          <w:tcPr>
            <w:tcW w:w="473" w:type="dxa"/>
            <w:tcBorders>
              <w:top w:val="single" w:color="000000" w:sz="4" w:space="0"/>
              <w:left w:val="single" w:color="000000" w:sz="4" w:space="0"/>
              <w:bottom w:val="single" w:color="000000" w:sz="4" w:space="0"/>
              <w:right w:val="single" w:color="000000" w:sz="4" w:space="0"/>
            </w:tcBorders>
            <w:noWrap/>
            <w:vAlign w:val="center"/>
          </w:tcPr>
          <w:p w14:paraId="55B050AD">
            <w:pPr>
              <w:rPr>
                <w:rFonts w:ascii="Calibri" w:hAnsi="Calibri" w:cs="Calibri"/>
                <w:color w:val="000000"/>
                <w:sz w:val="22"/>
                <w:szCs w:val="22"/>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14:paraId="5BFCF711">
            <w:pPr>
              <w:rPr>
                <w:rFonts w:ascii="Calibri" w:hAnsi="Calibri" w:cs="Calibri"/>
                <w:color w:val="000000"/>
                <w:sz w:val="22"/>
                <w:szCs w:val="22"/>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23C49BEA">
            <w:pPr>
              <w:rPr>
                <w:rFonts w:ascii="Calibri" w:hAnsi="Calibri" w:cs="Calibri"/>
                <w:color w:val="000000"/>
                <w:sz w:val="22"/>
                <w:szCs w:val="22"/>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79D3E41D">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15.74</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D11E48D">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15.74</w:t>
            </w:r>
          </w:p>
        </w:tc>
        <w:tc>
          <w:tcPr>
            <w:tcW w:w="371" w:type="dxa"/>
            <w:tcBorders>
              <w:top w:val="single" w:color="000000" w:sz="4" w:space="0"/>
              <w:left w:val="single" w:color="000000" w:sz="4" w:space="0"/>
              <w:bottom w:val="single" w:color="000000" w:sz="4" w:space="0"/>
              <w:right w:val="single" w:color="000000" w:sz="4" w:space="0"/>
            </w:tcBorders>
            <w:noWrap/>
            <w:vAlign w:val="center"/>
          </w:tcPr>
          <w:p w14:paraId="280CD647">
            <w:pPr>
              <w:rPr>
                <w:rFonts w:ascii="Calibri" w:hAnsi="Calibri" w:cs="Calibri"/>
                <w:color w:val="000000"/>
                <w:sz w:val="22"/>
                <w:szCs w:val="22"/>
              </w:rPr>
            </w:pP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14F1CB9C">
            <w:pPr>
              <w:rPr>
                <w:rFonts w:ascii="Calibri" w:hAnsi="Calibri" w:cs="Calibri"/>
                <w:color w:val="000000"/>
                <w:sz w:val="22"/>
                <w:szCs w:val="22"/>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BB6353A">
            <w:pPr>
              <w:rPr>
                <w:rFonts w:ascii="Calibri" w:hAnsi="Calibri" w:cs="Calibri"/>
                <w:color w:val="000000"/>
                <w:sz w:val="22"/>
                <w:szCs w:val="22"/>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14:paraId="5F454ED6">
            <w:pPr>
              <w:rPr>
                <w:rFonts w:ascii="Calibri" w:hAnsi="Calibri" w:cs="Calibri"/>
                <w:color w:val="000000"/>
                <w:sz w:val="22"/>
                <w:szCs w:val="22"/>
              </w:rPr>
            </w:pPr>
          </w:p>
        </w:tc>
      </w:tr>
      <w:tr w14:paraId="2C68ED91">
        <w:tblPrEx>
          <w:tblCellMar>
            <w:top w:w="0" w:type="dxa"/>
            <w:left w:w="108" w:type="dxa"/>
            <w:bottom w:w="0" w:type="dxa"/>
            <w:right w:w="108" w:type="dxa"/>
          </w:tblCellMar>
        </w:tblPrEx>
        <w:trPr>
          <w:trHeight w:val="90" w:hRule="atLeast"/>
        </w:trPr>
        <w:tc>
          <w:tcPr>
            <w:tcW w:w="1571" w:type="dxa"/>
            <w:tcBorders>
              <w:top w:val="nil"/>
              <w:left w:val="nil"/>
              <w:bottom w:val="nil"/>
              <w:right w:val="nil"/>
            </w:tcBorders>
            <w:noWrap/>
            <w:vAlign w:val="bottom"/>
          </w:tcPr>
          <w:p w14:paraId="54BDBFA3">
            <w:pPr>
              <w:jc w:val="center"/>
              <w:rPr>
                <w:rFonts w:ascii="Calibri" w:hAnsi="Calibri" w:cs="Calibri"/>
                <w:color w:val="000000"/>
                <w:sz w:val="22"/>
                <w:szCs w:val="22"/>
              </w:rPr>
            </w:pPr>
          </w:p>
        </w:tc>
        <w:tc>
          <w:tcPr>
            <w:tcW w:w="955" w:type="dxa"/>
            <w:tcBorders>
              <w:top w:val="nil"/>
              <w:left w:val="nil"/>
              <w:bottom w:val="nil"/>
              <w:right w:val="nil"/>
            </w:tcBorders>
            <w:noWrap/>
            <w:vAlign w:val="bottom"/>
          </w:tcPr>
          <w:p w14:paraId="18486D18">
            <w:pPr>
              <w:rPr>
                <w:rFonts w:ascii="Calibri" w:hAnsi="Calibri" w:cs="Calibri"/>
                <w:color w:val="000000"/>
                <w:sz w:val="22"/>
                <w:szCs w:val="22"/>
              </w:rPr>
            </w:pPr>
          </w:p>
        </w:tc>
        <w:tc>
          <w:tcPr>
            <w:tcW w:w="981" w:type="dxa"/>
            <w:tcBorders>
              <w:top w:val="nil"/>
              <w:left w:val="nil"/>
              <w:bottom w:val="nil"/>
              <w:right w:val="nil"/>
            </w:tcBorders>
            <w:noWrap/>
            <w:vAlign w:val="bottom"/>
          </w:tcPr>
          <w:p w14:paraId="6A9F43BE">
            <w:pPr>
              <w:rPr>
                <w:rFonts w:ascii="Calibri" w:hAnsi="Calibri" w:cs="Calibri"/>
                <w:color w:val="000000"/>
                <w:sz w:val="22"/>
                <w:szCs w:val="22"/>
              </w:rPr>
            </w:pPr>
          </w:p>
        </w:tc>
        <w:tc>
          <w:tcPr>
            <w:tcW w:w="859" w:type="dxa"/>
            <w:tcBorders>
              <w:top w:val="nil"/>
              <w:left w:val="nil"/>
              <w:bottom w:val="nil"/>
              <w:right w:val="nil"/>
            </w:tcBorders>
            <w:noWrap/>
            <w:vAlign w:val="bottom"/>
          </w:tcPr>
          <w:p w14:paraId="628B7D4F">
            <w:pPr>
              <w:rPr>
                <w:rFonts w:ascii="Calibri" w:hAnsi="Calibri" w:cs="Calibri"/>
                <w:color w:val="000000"/>
                <w:sz w:val="22"/>
                <w:szCs w:val="22"/>
              </w:rPr>
            </w:pPr>
          </w:p>
        </w:tc>
        <w:tc>
          <w:tcPr>
            <w:tcW w:w="682" w:type="dxa"/>
            <w:tcBorders>
              <w:top w:val="nil"/>
              <w:left w:val="nil"/>
              <w:bottom w:val="nil"/>
              <w:right w:val="nil"/>
            </w:tcBorders>
            <w:noWrap/>
            <w:vAlign w:val="bottom"/>
          </w:tcPr>
          <w:p w14:paraId="30438099">
            <w:pPr>
              <w:rPr>
                <w:rFonts w:ascii="Calibri" w:hAnsi="Calibri" w:cs="Calibri"/>
                <w:color w:val="000000"/>
                <w:sz w:val="22"/>
                <w:szCs w:val="22"/>
              </w:rPr>
            </w:pPr>
          </w:p>
        </w:tc>
        <w:tc>
          <w:tcPr>
            <w:tcW w:w="668" w:type="dxa"/>
            <w:tcBorders>
              <w:top w:val="nil"/>
              <w:left w:val="nil"/>
              <w:bottom w:val="nil"/>
              <w:right w:val="nil"/>
            </w:tcBorders>
            <w:noWrap/>
            <w:vAlign w:val="bottom"/>
          </w:tcPr>
          <w:p w14:paraId="48C4A44C">
            <w:pPr>
              <w:rPr>
                <w:rFonts w:ascii="Calibri" w:hAnsi="Calibri" w:cs="Calibri"/>
                <w:color w:val="000000"/>
                <w:sz w:val="22"/>
                <w:szCs w:val="22"/>
              </w:rPr>
            </w:pPr>
          </w:p>
        </w:tc>
        <w:tc>
          <w:tcPr>
            <w:tcW w:w="520" w:type="dxa"/>
            <w:tcBorders>
              <w:top w:val="nil"/>
              <w:left w:val="nil"/>
              <w:bottom w:val="nil"/>
              <w:right w:val="nil"/>
            </w:tcBorders>
            <w:noWrap/>
            <w:vAlign w:val="bottom"/>
          </w:tcPr>
          <w:p w14:paraId="639323BB">
            <w:pPr>
              <w:rPr>
                <w:rFonts w:ascii="Calibri" w:hAnsi="Calibri" w:cs="Calibri"/>
                <w:color w:val="000000"/>
                <w:sz w:val="22"/>
                <w:szCs w:val="22"/>
              </w:rPr>
            </w:pPr>
          </w:p>
        </w:tc>
        <w:tc>
          <w:tcPr>
            <w:tcW w:w="477" w:type="dxa"/>
            <w:tcBorders>
              <w:top w:val="nil"/>
              <w:left w:val="nil"/>
              <w:bottom w:val="nil"/>
              <w:right w:val="nil"/>
            </w:tcBorders>
            <w:noWrap/>
            <w:vAlign w:val="bottom"/>
          </w:tcPr>
          <w:p w14:paraId="5DD966C5">
            <w:pPr>
              <w:rPr>
                <w:rFonts w:ascii="Calibri" w:hAnsi="Calibri" w:cs="Calibri"/>
                <w:color w:val="000000"/>
                <w:sz w:val="22"/>
                <w:szCs w:val="22"/>
              </w:rPr>
            </w:pPr>
          </w:p>
        </w:tc>
        <w:tc>
          <w:tcPr>
            <w:tcW w:w="716" w:type="dxa"/>
            <w:tcBorders>
              <w:top w:val="nil"/>
              <w:left w:val="nil"/>
              <w:bottom w:val="nil"/>
              <w:right w:val="nil"/>
            </w:tcBorders>
            <w:noWrap/>
            <w:vAlign w:val="bottom"/>
          </w:tcPr>
          <w:p w14:paraId="28FB0F16">
            <w:pPr>
              <w:rPr>
                <w:rFonts w:ascii="Calibri" w:hAnsi="Calibri" w:cs="Calibri"/>
                <w:color w:val="000000"/>
                <w:sz w:val="22"/>
                <w:szCs w:val="22"/>
              </w:rPr>
            </w:pPr>
          </w:p>
        </w:tc>
        <w:tc>
          <w:tcPr>
            <w:tcW w:w="1040" w:type="dxa"/>
            <w:tcBorders>
              <w:top w:val="nil"/>
              <w:left w:val="nil"/>
              <w:bottom w:val="nil"/>
              <w:right w:val="nil"/>
            </w:tcBorders>
            <w:noWrap/>
            <w:vAlign w:val="bottom"/>
          </w:tcPr>
          <w:p w14:paraId="6D726630">
            <w:pPr>
              <w:rPr>
                <w:rFonts w:ascii="Calibri" w:hAnsi="Calibri" w:cs="Calibri"/>
                <w:color w:val="000000"/>
                <w:sz w:val="22"/>
                <w:szCs w:val="22"/>
              </w:rPr>
            </w:pPr>
          </w:p>
        </w:tc>
        <w:tc>
          <w:tcPr>
            <w:tcW w:w="473" w:type="dxa"/>
            <w:tcBorders>
              <w:top w:val="nil"/>
              <w:left w:val="nil"/>
              <w:bottom w:val="nil"/>
              <w:right w:val="nil"/>
            </w:tcBorders>
            <w:noWrap/>
            <w:vAlign w:val="bottom"/>
          </w:tcPr>
          <w:p w14:paraId="2EB8A45F">
            <w:pPr>
              <w:rPr>
                <w:rFonts w:ascii="Calibri" w:hAnsi="Calibri" w:cs="Calibri"/>
                <w:color w:val="000000"/>
                <w:sz w:val="22"/>
                <w:szCs w:val="22"/>
              </w:rPr>
            </w:pPr>
          </w:p>
        </w:tc>
        <w:tc>
          <w:tcPr>
            <w:tcW w:w="622" w:type="dxa"/>
            <w:tcBorders>
              <w:top w:val="nil"/>
              <w:left w:val="nil"/>
              <w:bottom w:val="nil"/>
              <w:right w:val="nil"/>
            </w:tcBorders>
            <w:noWrap/>
            <w:vAlign w:val="bottom"/>
          </w:tcPr>
          <w:p w14:paraId="46182697">
            <w:pPr>
              <w:rPr>
                <w:rFonts w:ascii="Calibri" w:hAnsi="Calibri" w:cs="Calibri"/>
                <w:color w:val="000000"/>
                <w:sz w:val="22"/>
                <w:szCs w:val="22"/>
              </w:rPr>
            </w:pPr>
          </w:p>
        </w:tc>
        <w:tc>
          <w:tcPr>
            <w:tcW w:w="462" w:type="dxa"/>
            <w:tcBorders>
              <w:top w:val="nil"/>
              <w:left w:val="nil"/>
              <w:bottom w:val="nil"/>
              <w:right w:val="nil"/>
            </w:tcBorders>
            <w:noWrap/>
            <w:vAlign w:val="bottom"/>
          </w:tcPr>
          <w:p w14:paraId="3E31CB59">
            <w:pPr>
              <w:rPr>
                <w:rFonts w:ascii="Calibri" w:hAnsi="Calibri" w:cs="Calibri"/>
                <w:color w:val="000000"/>
                <w:sz w:val="22"/>
                <w:szCs w:val="22"/>
              </w:rPr>
            </w:pPr>
          </w:p>
        </w:tc>
        <w:tc>
          <w:tcPr>
            <w:tcW w:w="777" w:type="dxa"/>
            <w:tcBorders>
              <w:top w:val="nil"/>
              <w:left w:val="nil"/>
              <w:bottom w:val="nil"/>
              <w:right w:val="nil"/>
            </w:tcBorders>
            <w:noWrap/>
            <w:vAlign w:val="bottom"/>
          </w:tcPr>
          <w:p w14:paraId="2110B85E">
            <w:pPr>
              <w:rPr>
                <w:rFonts w:ascii="Calibri" w:hAnsi="Calibri" w:cs="Calibri"/>
                <w:color w:val="000000"/>
                <w:sz w:val="22"/>
                <w:szCs w:val="22"/>
              </w:rPr>
            </w:pPr>
          </w:p>
        </w:tc>
        <w:tc>
          <w:tcPr>
            <w:tcW w:w="816" w:type="dxa"/>
            <w:tcBorders>
              <w:top w:val="nil"/>
              <w:left w:val="nil"/>
              <w:bottom w:val="nil"/>
              <w:right w:val="nil"/>
            </w:tcBorders>
            <w:noWrap/>
            <w:vAlign w:val="bottom"/>
          </w:tcPr>
          <w:p w14:paraId="0D8A20F0">
            <w:pPr>
              <w:rPr>
                <w:rFonts w:ascii="Calibri" w:hAnsi="Calibri" w:cs="Calibri"/>
                <w:color w:val="000000"/>
                <w:sz w:val="22"/>
                <w:szCs w:val="22"/>
              </w:rPr>
            </w:pPr>
          </w:p>
        </w:tc>
        <w:tc>
          <w:tcPr>
            <w:tcW w:w="371" w:type="dxa"/>
            <w:tcBorders>
              <w:top w:val="nil"/>
              <w:left w:val="nil"/>
              <w:bottom w:val="nil"/>
              <w:right w:val="nil"/>
            </w:tcBorders>
            <w:noWrap/>
            <w:vAlign w:val="bottom"/>
          </w:tcPr>
          <w:p w14:paraId="6C5F68AE">
            <w:pPr>
              <w:rPr>
                <w:rFonts w:ascii="Calibri" w:hAnsi="Calibri" w:cs="Calibri"/>
                <w:color w:val="000000"/>
                <w:sz w:val="22"/>
                <w:szCs w:val="22"/>
              </w:rPr>
            </w:pPr>
          </w:p>
        </w:tc>
        <w:tc>
          <w:tcPr>
            <w:tcW w:w="491" w:type="dxa"/>
            <w:tcBorders>
              <w:top w:val="nil"/>
              <w:left w:val="nil"/>
              <w:bottom w:val="nil"/>
              <w:right w:val="nil"/>
            </w:tcBorders>
            <w:noWrap/>
            <w:vAlign w:val="bottom"/>
          </w:tcPr>
          <w:p w14:paraId="3E753490">
            <w:pPr>
              <w:rPr>
                <w:rFonts w:ascii="Calibri" w:hAnsi="Calibri" w:cs="Calibri"/>
                <w:color w:val="000000"/>
                <w:sz w:val="22"/>
                <w:szCs w:val="22"/>
              </w:rPr>
            </w:pPr>
          </w:p>
        </w:tc>
        <w:tc>
          <w:tcPr>
            <w:tcW w:w="503" w:type="dxa"/>
            <w:tcBorders>
              <w:top w:val="nil"/>
              <w:left w:val="nil"/>
              <w:bottom w:val="nil"/>
              <w:right w:val="nil"/>
            </w:tcBorders>
            <w:noWrap/>
            <w:vAlign w:val="bottom"/>
          </w:tcPr>
          <w:p w14:paraId="6F56FEC1">
            <w:pPr>
              <w:rPr>
                <w:rFonts w:ascii="Calibri" w:hAnsi="Calibri" w:cs="Calibri"/>
                <w:color w:val="000000"/>
                <w:sz w:val="22"/>
                <w:szCs w:val="22"/>
              </w:rPr>
            </w:pPr>
          </w:p>
        </w:tc>
        <w:tc>
          <w:tcPr>
            <w:tcW w:w="471" w:type="dxa"/>
            <w:tcBorders>
              <w:top w:val="nil"/>
              <w:left w:val="nil"/>
              <w:bottom w:val="nil"/>
              <w:right w:val="nil"/>
            </w:tcBorders>
            <w:noWrap/>
            <w:vAlign w:val="bottom"/>
          </w:tcPr>
          <w:p w14:paraId="6569D262">
            <w:pPr>
              <w:rPr>
                <w:rFonts w:ascii="Calibri" w:hAnsi="Calibri" w:cs="Calibri"/>
                <w:color w:val="000000"/>
                <w:sz w:val="22"/>
                <w:szCs w:val="22"/>
              </w:rPr>
            </w:pPr>
          </w:p>
        </w:tc>
      </w:tr>
      <w:tr w14:paraId="40CEA27D">
        <w:tblPrEx>
          <w:tblCellMar>
            <w:top w:w="0" w:type="dxa"/>
            <w:left w:w="108" w:type="dxa"/>
            <w:bottom w:w="0" w:type="dxa"/>
            <w:right w:w="108" w:type="dxa"/>
          </w:tblCellMar>
        </w:tblPrEx>
        <w:trPr>
          <w:trHeight w:val="90" w:hRule="atLeast"/>
        </w:trPr>
        <w:tc>
          <w:tcPr>
            <w:tcW w:w="1571" w:type="dxa"/>
            <w:tcBorders>
              <w:top w:val="nil"/>
              <w:left w:val="nil"/>
              <w:bottom w:val="nil"/>
              <w:right w:val="nil"/>
            </w:tcBorders>
            <w:noWrap/>
            <w:vAlign w:val="bottom"/>
          </w:tcPr>
          <w:p w14:paraId="656E84CF">
            <w:pPr>
              <w:jc w:val="center"/>
              <w:rPr>
                <w:rFonts w:ascii="Calibri" w:hAnsi="Calibri" w:cs="Calibri"/>
                <w:color w:val="000000"/>
                <w:sz w:val="22"/>
                <w:szCs w:val="22"/>
              </w:rPr>
            </w:pPr>
          </w:p>
        </w:tc>
        <w:tc>
          <w:tcPr>
            <w:tcW w:w="955" w:type="dxa"/>
            <w:tcBorders>
              <w:top w:val="nil"/>
              <w:left w:val="nil"/>
              <w:bottom w:val="nil"/>
              <w:right w:val="nil"/>
            </w:tcBorders>
            <w:noWrap/>
            <w:vAlign w:val="bottom"/>
          </w:tcPr>
          <w:p w14:paraId="74BEEBFD">
            <w:pPr>
              <w:rPr>
                <w:rFonts w:ascii="Calibri" w:hAnsi="Calibri" w:cs="Calibri"/>
                <w:color w:val="000000"/>
                <w:sz w:val="22"/>
                <w:szCs w:val="22"/>
              </w:rPr>
            </w:pPr>
          </w:p>
        </w:tc>
        <w:tc>
          <w:tcPr>
            <w:tcW w:w="981" w:type="dxa"/>
            <w:tcBorders>
              <w:top w:val="nil"/>
              <w:left w:val="nil"/>
              <w:bottom w:val="nil"/>
              <w:right w:val="nil"/>
            </w:tcBorders>
            <w:noWrap/>
            <w:vAlign w:val="bottom"/>
          </w:tcPr>
          <w:p w14:paraId="506B5189">
            <w:pPr>
              <w:rPr>
                <w:rFonts w:ascii="Calibri" w:hAnsi="Calibri" w:cs="Calibri"/>
                <w:color w:val="000000"/>
                <w:sz w:val="22"/>
                <w:szCs w:val="22"/>
              </w:rPr>
            </w:pPr>
          </w:p>
        </w:tc>
        <w:tc>
          <w:tcPr>
            <w:tcW w:w="859" w:type="dxa"/>
            <w:tcBorders>
              <w:top w:val="nil"/>
              <w:left w:val="nil"/>
              <w:bottom w:val="nil"/>
              <w:right w:val="nil"/>
            </w:tcBorders>
            <w:noWrap/>
            <w:vAlign w:val="bottom"/>
          </w:tcPr>
          <w:p w14:paraId="2E236EA6">
            <w:pPr>
              <w:rPr>
                <w:rFonts w:ascii="Calibri" w:hAnsi="Calibri" w:cs="Calibri"/>
                <w:color w:val="000000"/>
                <w:sz w:val="22"/>
                <w:szCs w:val="22"/>
              </w:rPr>
            </w:pPr>
          </w:p>
        </w:tc>
        <w:tc>
          <w:tcPr>
            <w:tcW w:w="682" w:type="dxa"/>
            <w:tcBorders>
              <w:top w:val="nil"/>
              <w:left w:val="nil"/>
              <w:bottom w:val="nil"/>
              <w:right w:val="nil"/>
            </w:tcBorders>
            <w:noWrap/>
            <w:vAlign w:val="bottom"/>
          </w:tcPr>
          <w:p w14:paraId="1DC5BEAC">
            <w:pPr>
              <w:rPr>
                <w:rFonts w:ascii="Calibri" w:hAnsi="Calibri" w:cs="Calibri"/>
                <w:color w:val="000000"/>
                <w:sz w:val="22"/>
                <w:szCs w:val="22"/>
              </w:rPr>
            </w:pPr>
          </w:p>
        </w:tc>
        <w:tc>
          <w:tcPr>
            <w:tcW w:w="668" w:type="dxa"/>
            <w:tcBorders>
              <w:top w:val="nil"/>
              <w:left w:val="nil"/>
              <w:bottom w:val="nil"/>
              <w:right w:val="nil"/>
            </w:tcBorders>
            <w:noWrap/>
            <w:vAlign w:val="bottom"/>
          </w:tcPr>
          <w:p w14:paraId="2E2281E0">
            <w:pPr>
              <w:rPr>
                <w:rFonts w:ascii="Calibri" w:hAnsi="Calibri" w:cs="Calibri"/>
                <w:color w:val="000000"/>
                <w:sz w:val="22"/>
                <w:szCs w:val="22"/>
              </w:rPr>
            </w:pPr>
          </w:p>
        </w:tc>
        <w:tc>
          <w:tcPr>
            <w:tcW w:w="520" w:type="dxa"/>
            <w:tcBorders>
              <w:top w:val="nil"/>
              <w:left w:val="nil"/>
              <w:bottom w:val="nil"/>
              <w:right w:val="nil"/>
            </w:tcBorders>
            <w:noWrap/>
            <w:vAlign w:val="bottom"/>
          </w:tcPr>
          <w:p w14:paraId="0D5CFBC2">
            <w:pPr>
              <w:rPr>
                <w:rFonts w:ascii="Calibri" w:hAnsi="Calibri" w:cs="Calibri"/>
                <w:color w:val="000000"/>
                <w:sz w:val="22"/>
                <w:szCs w:val="22"/>
              </w:rPr>
            </w:pPr>
          </w:p>
        </w:tc>
        <w:tc>
          <w:tcPr>
            <w:tcW w:w="477" w:type="dxa"/>
            <w:tcBorders>
              <w:top w:val="nil"/>
              <w:left w:val="nil"/>
              <w:bottom w:val="nil"/>
              <w:right w:val="nil"/>
            </w:tcBorders>
            <w:noWrap/>
            <w:vAlign w:val="bottom"/>
          </w:tcPr>
          <w:p w14:paraId="640054F4">
            <w:pPr>
              <w:rPr>
                <w:rFonts w:ascii="Calibri" w:hAnsi="Calibri" w:cs="Calibri"/>
                <w:color w:val="000000"/>
                <w:sz w:val="22"/>
                <w:szCs w:val="22"/>
              </w:rPr>
            </w:pPr>
          </w:p>
        </w:tc>
        <w:tc>
          <w:tcPr>
            <w:tcW w:w="716" w:type="dxa"/>
            <w:tcBorders>
              <w:top w:val="nil"/>
              <w:left w:val="nil"/>
              <w:bottom w:val="nil"/>
              <w:right w:val="nil"/>
            </w:tcBorders>
            <w:noWrap/>
            <w:vAlign w:val="bottom"/>
          </w:tcPr>
          <w:p w14:paraId="2297CFCC">
            <w:pPr>
              <w:rPr>
                <w:rFonts w:ascii="Calibri" w:hAnsi="Calibri" w:cs="Calibri"/>
                <w:color w:val="000000"/>
                <w:sz w:val="22"/>
                <w:szCs w:val="22"/>
              </w:rPr>
            </w:pPr>
          </w:p>
        </w:tc>
        <w:tc>
          <w:tcPr>
            <w:tcW w:w="1040" w:type="dxa"/>
            <w:tcBorders>
              <w:top w:val="nil"/>
              <w:left w:val="nil"/>
              <w:bottom w:val="nil"/>
              <w:right w:val="nil"/>
            </w:tcBorders>
            <w:noWrap/>
            <w:vAlign w:val="bottom"/>
          </w:tcPr>
          <w:p w14:paraId="78767730">
            <w:pPr>
              <w:rPr>
                <w:rFonts w:ascii="Calibri" w:hAnsi="Calibri" w:cs="Calibri"/>
                <w:color w:val="000000"/>
                <w:sz w:val="22"/>
                <w:szCs w:val="22"/>
              </w:rPr>
            </w:pPr>
          </w:p>
        </w:tc>
        <w:tc>
          <w:tcPr>
            <w:tcW w:w="473" w:type="dxa"/>
            <w:tcBorders>
              <w:top w:val="nil"/>
              <w:left w:val="nil"/>
              <w:bottom w:val="nil"/>
              <w:right w:val="nil"/>
            </w:tcBorders>
            <w:noWrap/>
            <w:vAlign w:val="bottom"/>
          </w:tcPr>
          <w:p w14:paraId="08CB97AE">
            <w:pPr>
              <w:rPr>
                <w:rFonts w:ascii="Calibri" w:hAnsi="Calibri" w:cs="Calibri"/>
                <w:color w:val="000000"/>
                <w:sz w:val="22"/>
                <w:szCs w:val="22"/>
              </w:rPr>
            </w:pPr>
          </w:p>
        </w:tc>
        <w:tc>
          <w:tcPr>
            <w:tcW w:w="622" w:type="dxa"/>
            <w:tcBorders>
              <w:top w:val="nil"/>
              <w:left w:val="nil"/>
              <w:bottom w:val="nil"/>
              <w:right w:val="nil"/>
            </w:tcBorders>
            <w:noWrap/>
            <w:vAlign w:val="bottom"/>
          </w:tcPr>
          <w:p w14:paraId="4C32EE13">
            <w:pPr>
              <w:rPr>
                <w:rFonts w:ascii="Calibri" w:hAnsi="Calibri" w:cs="Calibri"/>
                <w:color w:val="000000"/>
                <w:sz w:val="22"/>
                <w:szCs w:val="22"/>
              </w:rPr>
            </w:pPr>
          </w:p>
        </w:tc>
        <w:tc>
          <w:tcPr>
            <w:tcW w:w="462" w:type="dxa"/>
            <w:tcBorders>
              <w:top w:val="nil"/>
              <w:left w:val="nil"/>
              <w:bottom w:val="nil"/>
              <w:right w:val="nil"/>
            </w:tcBorders>
            <w:noWrap/>
            <w:vAlign w:val="bottom"/>
          </w:tcPr>
          <w:p w14:paraId="0B6BEA5C">
            <w:pPr>
              <w:rPr>
                <w:rFonts w:ascii="Calibri" w:hAnsi="Calibri" w:cs="Calibri"/>
                <w:color w:val="000000"/>
                <w:sz w:val="22"/>
                <w:szCs w:val="22"/>
              </w:rPr>
            </w:pPr>
          </w:p>
        </w:tc>
        <w:tc>
          <w:tcPr>
            <w:tcW w:w="777" w:type="dxa"/>
            <w:tcBorders>
              <w:top w:val="nil"/>
              <w:left w:val="nil"/>
              <w:bottom w:val="nil"/>
              <w:right w:val="nil"/>
            </w:tcBorders>
            <w:noWrap/>
            <w:vAlign w:val="bottom"/>
          </w:tcPr>
          <w:p w14:paraId="4D1F099E">
            <w:pPr>
              <w:rPr>
                <w:rFonts w:ascii="Calibri" w:hAnsi="Calibri" w:cs="Calibri"/>
                <w:color w:val="000000"/>
                <w:sz w:val="22"/>
                <w:szCs w:val="22"/>
              </w:rPr>
            </w:pPr>
          </w:p>
        </w:tc>
        <w:tc>
          <w:tcPr>
            <w:tcW w:w="816" w:type="dxa"/>
            <w:tcBorders>
              <w:top w:val="nil"/>
              <w:left w:val="nil"/>
              <w:bottom w:val="nil"/>
              <w:right w:val="nil"/>
            </w:tcBorders>
            <w:noWrap/>
            <w:vAlign w:val="bottom"/>
          </w:tcPr>
          <w:p w14:paraId="5B9BB72F">
            <w:pPr>
              <w:rPr>
                <w:rFonts w:ascii="Calibri" w:hAnsi="Calibri" w:cs="Calibri"/>
                <w:color w:val="000000"/>
                <w:sz w:val="22"/>
                <w:szCs w:val="22"/>
              </w:rPr>
            </w:pPr>
          </w:p>
        </w:tc>
        <w:tc>
          <w:tcPr>
            <w:tcW w:w="371" w:type="dxa"/>
            <w:tcBorders>
              <w:top w:val="nil"/>
              <w:left w:val="nil"/>
              <w:bottom w:val="nil"/>
              <w:right w:val="nil"/>
            </w:tcBorders>
            <w:noWrap/>
            <w:vAlign w:val="bottom"/>
          </w:tcPr>
          <w:p w14:paraId="5759DB0E">
            <w:pPr>
              <w:rPr>
                <w:rFonts w:ascii="Calibri" w:hAnsi="Calibri" w:cs="Calibri"/>
                <w:color w:val="000000"/>
                <w:sz w:val="22"/>
                <w:szCs w:val="22"/>
              </w:rPr>
            </w:pPr>
          </w:p>
        </w:tc>
        <w:tc>
          <w:tcPr>
            <w:tcW w:w="491" w:type="dxa"/>
            <w:tcBorders>
              <w:top w:val="nil"/>
              <w:left w:val="nil"/>
              <w:bottom w:val="nil"/>
              <w:right w:val="nil"/>
            </w:tcBorders>
            <w:noWrap/>
            <w:vAlign w:val="bottom"/>
          </w:tcPr>
          <w:p w14:paraId="07C15043">
            <w:pPr>
              <w:rPr>
                <w:rFonts w:ascii="Calibri" w:hAnsi="Calibri" w:cs="Calibri"/>
                <w:color w:val="000000"/>
                <w:sz w:val="22"/>
                <w:szCs w:val="22"/>
              </w:rPr>
            </w:pPr>
          </w:p>
        </w:tc>
        <w:tc>
          <w:tcPr>
            <w:tcW w:w="503" w:type="dxa"/>
            <w:tcBorders>
              <w:top w:val="nil"/>
              <w:left w:val="nil"/>
              <w:bottom w:val="nil"/>
              <w:right w:val="nil"/>
            </w:tcBorders>
            <w:noWrap/>
            <w:vAlign w:val="bottom"/>
          </w:tcPr>
          <w:p w14:paraId="559CE32E">
            <w:pPr>
              <w:rPr>
                <w:rFonts w:ascii="Calibri" w:hAnsi="Calibri" w:cs="Calibri"/>
                <w:color w:val="000000"/>
                <w:sz w:val="22"/>
                <w:szCs w:val="22"/>
              </w:rPr>
            </w:pPr>
          </w:p>
        </w:tc>
        <w:tc>
          <w:tcPr>
            <w:tcW w:w="471" w:type="dxa"/>
            <w:tcBorders>
              <w:top w:val="nil"/>
              <w:left w:val="nil"/>
              <w:bottom w:val="nil"/>
              <w:right w:val="nil"/>
            </w:tcBorders>
            <w:noWrap/>
            <w:vAlign w:val="bottom"/>
          </w:tcPr>
          <w:p w14:paraId="11944586">
            <w:pPr>
              <w:rPr>
                <w:rFonts w:ascii="Calibri" w:hAnsi="Calibri" w:cs="Calibri"/>
                <w:color w:val="000000"/>
                <w:sz w:val="22"/>
                <w:szCs w:val="22"/>
              </w:rPr>
            </w:pPr>
          </w:p>
        </w:tc>
      </w:tr>
      <w:tr w14:paraId="564B1519">
        <w:tblPrEx>
          <w:tblCellMar>
            <w:top w:w="0" w:type="dxa"/>
            <w:left w:w="108" w:type="dxa"/>
            <w:bottom w:w="0" w:type="dxa"/>
            <w:right w:w="108" w:type="dxa"/>
          </w:tblCellMar>
        </w:tblPrEx>
        <w:trPr>
          <w:trHeight w:val="90" w:hRule="atLeast"/>
        </w:trPr>
        <w:tc>
          <w:tcPr>
            <w:tcW w:w="1571" w:type="dxa"/>
            <w:tcBorders>
              <w:top w:val="nil"/>
              <w:left w:val="nil"/>
              <w:bottom w:val="nil"/>
              <w:right w:val="nil"/>
            </w:tcBorders>
            <w:noWrap/>
            <w:vAlign w:val="bottom"/>
          </w:tcPr>
          <w:p w14:paraId="646300B2">
            <w:pPr>
              <w:jc w:val="center"/>
              <w:rPr>
                <w:rFonts w:ascii="Calibri" w:hAnsi="Calibri" w:cs="Calibri"/>
                <w:color w:val="000000"/>
                <w:sz w:val="22"/>
                <w:szCs w:val="22"/>
              </w:rPr>
            </w:pPr>
          </w:p>
        </w:tc>
        <w:tc>
          <w:tcPr>
            <w:tcW w:w="955" w:type="dxa"/>
            <w:tcBorders>
              <w:top w:val="nil"/>
              <w:left w:val="nil"/>
              <w:bottom w:val="nil"/>
              <w:right w:val="nil"/>
            </w:tcBorders>
            <w:noWrap/>
            <w:vAlign w:val="bottom"/>
          </w:tcPr>
          <w:p w14:paraId="0554404A">
            <w:pPr>
              <w:rPr>
                <w:rFonts w:ascii="Arial" w:hAnsi="Arial" w:cs="Arial"/>
                <w:color w:val="000000"/>
                <w:sz w:val="20"/>
                <w:szCs w:val="20"/>
              </w:rPr>
            </w:pPr>
          </w:p>
        </w:tc>
        <w:tc>
          <w:tcPr>
            <w:tcW w:w="981" w:type="dxa"/>
            <w:tcBorders>
              <w:top w:val="nil"/>
              <w:left w:val="nil"/>
              <w:bottom w:val="nil"/>
              <w:right w:val="nil"/>
            </w:tcBorders>
            <w:noWrap/>
            <w:vAlign w:val="bottom"/>
          </w:tcPr>
          <w:p w14:paraId="432BCB23">
            <w:pPr>
              <w:rPr>
                <w:rFonts w:ascii="Arial" w:hAnsi="Arial" w:cs="Arial"/>
                <w:color w:val="000000"/>
                <w:sz w:val="20"/>
                <w:szCs w:val="20"/>
              </w:rPr>
            </w:pPr>
          </w:p>
        </w:tc>
        <w:tc>
          <w:tcPr>
            <w:tcW w:w="859" w:type="dxa"/>
            <w:tcBorders>
              <w:top w:val="nil"/>
              <w:left w:val="nil"/>
              <w:bottom w:val="nil"/>
              <w:right w:val="nil"/>
            </w:tcBorders>
            <w:noWrap/>
            <w:vAlign w:val="bottom"/>
          </w:tcPr>
          <w:p w14:paraId="730AB164">
            <w:pPr>
              <w:rPr>
                <w:rFonts w:ascii="Arial" w:hAnsi="Arial" w:cs="Arial"/>
                <w:color w:val="000000"/>
                <w:sz w:val="20"/>
                <w:szCs w:val="20"/>
              </w:rPr>
            </w:pPr>
          </w:p>
        </w:tc>
        <w:tc>
          <w:tcPr>
            <w:tcW w:w="682" w:type="dxa"/>
            <w:tcBorders>
              <w:top w:val="nil"/>
              <w:left w:val="nil"/>
              <w:bottom w:val="nil"/>
              <w:right w:val="nil"/>
            </w:tcBorders>
            <w:noWrap/>
            <w:vAlign w:val="bottom"/>
          </w:tcPr>
          <w:p w14:paraId="6D8822AF">
            <w:pPr>
              <w:rPr>
                <w:rFonts w:ascii="Arial" w:hAnsi="Arial" w:cs="Arial"/>
                <w:color w:val="000000"/>
                <w:sz w:val="20"/>
                <w:szCs w:val="20"/>
              </w:rPr>
            </w:pPr>
          </w:p>
        </w:tc>
        <w:tc>
          <w:tcPr>
            <w:tcW w:w="668" w:type="dxa"/>
            <w:tcBorders>
              <w:top w:val="nil"/>
              <w:left w:val="nil"/>
              <w:bottom w:val="nil"/>
              <w:right w:val="nil"/>
            </w:tcBorders>
            <w:noWrap/>
            <w:vAlign w:val="bottom"/>
          </w:tcPr>
          <w:p w14:paraId="0BAEC023">
            <w:pPr>
              <w:rPr>
                <w:rFonts w:ascii="Arial" w:hAnsi="Arial" w:cs="Arial"/>
                <w:color w:val="000000"/>
                <w:sz w:val="20"/>
                <w:szCs w:val="20"/>
              </w:rPr>
            </w:pPr>
          </w:p>
        </w:tc>
        <w:tc>
          <w:tcPr>
            <w:tcW w:w="520" w:type="dxa"/>
            <w:tcBorders>
              <w:top w:val="nil"/>
              <w:left w:val="nil"/>
              <w:bottom w:val="nil"/>
              <w:right w:val="nil"/>
            </w:tcBorders>
            <w:noWrap/>
            <w:vAlign w:val="bottom"/>
          </w:tcPr>
          <w:p w14:paraId="3F59734F">
            <w:pPr>
              <w:rPr>
                <w:rFonts w:ascii="Arial" w:hAnsi="Arial" w:cs="Arial"/>
                <w:color w:val="000000"/>
                <w:sz w:val="20"/>
                <w:szCs w:val="20"/>
              </w:rPr>
            </w:pPr>
          </w:p>
        </w:tc>
        <w:tc>
          <w:tcPr>
            <w:tcW w:w="477" w:type="dxa"/>
            <w:tcBorders>
              <w:top w:val="nil"/>
              <w:left w:val="nil"/>
              <w:bottom w:val="nil"/>
              <w:right w:val="nil"/>
            </w:tcBorders>
            <w:noWrap/>
            <w:vAlign w:val="bottom"/>
          </w:tcPr>
          <w:p w14:paraId="1A64A47A">
            <w:pPr>
              <w:rPr>
                <w:rFonts w:ascii="Arial" w:hAnsi="Arial" w:cs="Arial"/>
                <w:color w:val="000000"/>
                <w:sz w:val="20"/>
                <w:szCs w:val="20"/>
              </w:rPr>
            </w:pPr>
          </w:p>
        </w:tc>
        <w:tc>
          <w:tcPr>
            <w:tcW w:w="716" w:type="dxa"/>
            <w:tcBorders>
              <w:top w:val="nil"/>
              <w:left w:val="nil"/>
              <w:bottom w:val="nil"/>
              <w:right w:val="nil"/>
            </w:tcBorders>
            <w:noWrap/>
            <w:vAlign w:val="bottom"/>
          </w:tcPr>
          <w:p w14:paraId="4998D15D">
            <w:pPr>
              <w:rPr>
                <w:rFonts w:ascii="Arial" w:hAnsi="Arial" w:cs="Arial"/>
                <w:color w:val="000000"/>
                <w:sz w:val="20"/>
                <w:szCs w:val="20"/>
              </w:rPr>
            </w:pPr>
          </w:p>
        </w:tc>
        <w:tc>
          <w:tcPr>
            <w:tcW w:w="1040" w:type="dxa"/>
            <w:tcBorders>
              <w:top w:val="nil"/>
              <w:left w:val="nil"/>
              <w:bottom w:val="nil"/>
              <w:right w:val="nil"/>
            </w:tcBorders>
            <w:noWrap/>
            <w:vAlign w:val="bottom"/>
          </w:tcPr>
          <w:p w14:paraId="126B0415">
            <w:pPr>
              <w:rPr>
                <w:rFonts w:ascii="Arial" w:hAnsi="Arial" w:cs="Arial"/>
                <w:color w:val="000000"/>
                <w:sz w:val="20"/>
                <w:szCs w:val="20"/>
              </w:rPr>
            </w:pPr>
          </w:p>
        </w:tc>
        <w:tc>
          <w:tcPr>
            <w:tcW w:w="473" w:type="dxa"/>
            <w:tcBorders>
              <w:top w:val="nil"/>
              <w:left w:val="nil"/>
              <w:bottom w:val="nil"/>
              <w:right w:val="nil"/>
            </w:tcBorders>
            <w:noWrap/>
            <w:vAlign w:val="bottom"/>
          </w:tcPr>
          <w:p w14:paraId="7421B8F8">
            <w:pPr>
              <w:rPr>
                <w:rFonts w:ascii="Arial" w:hAnsi="Arial" w:cs="Arial"/>
                <w:color w:val="000000"/>
                <w:sz w:val="20"/>
                <w:szCs w:val="20"/>
              </w:rPr>
            </w:pPr>
          </w:p>
        </w:tc>
        <w:tc>
          <w:tcPr>
            <w:tcW w:w="622" w:type="dxa"/>
            <w:tcBorders>
              <w:top w:val="nil"/>
              <w:left w:val="nil"/>
              <w:bottom w:val="nil"/>
              <w:right w:val="nil"/>
            </w:tcBorders>
            <w:noWrap/>
            <w:vAlign w:val="bottom"/>
          </w:tcPr>
          <w:p w14:paraId="7BD55120">
            <w:pPr>
              <w:rPr>
                <w:rFonts w:ascii="Arial" w:hAnsi="Arial" w:cs="Arial"/>
                <w:color w:val="000000"/>
                <w:sz w:val="20"/>
                <w:szCs w:val="20"/>
              </w:rPr>
            </w:pPr>
          </w:p>
        </w:tc>
        <w:tc>
          <w:tcPr>
            <w:tcW w:w="462" w:type="dxa"/>
            <w:tcBorders>
              <w:top w:val="nil"/>
              <w:left w:val="nil"/>
              <w:bottom w:val="nil"/>
              <w:right w:val="nil"/>
            </w:tcBorders>
            <w:noWrap/>
            <w:vAlign w:val="bottom"/>
          </w:tcPr>
          <w:p w14:paraId="25F2DB16">
            <w:pPr>
              <w:rPr>
                <w:rFonts w:ascii="Arial" w:hAnsi="Arial" w:cs="Arial"/>
                <w:color w:val="000000"/>
                <w:sz w:val="20"/>
                <w:szCs w:val="20"/>
              </w:rPr>
            </w:pPr>
          </w:p>
        </w:tc>
        <w:tc>
          <w:tcPr>
            <w:tcW w:w="777" w:type="dxa"/>
            <w:tcBorders>
              <w:top w:val="nil"/>
              <w:left w:val="nil"/>
              <w:bottom w:val="nil"/>
              <w:right w:val="nil"/>
            </w:tcBorders>
            <w:noWrap/>
            <w:vAlign w:val="bottom"/>
          </w:tcPr>
          <w:p w14:paraId="2F471C87">
            <w:pPr>
              <w:rPr>
                <w:rFonts w:ascii="Arial" w:hAnsi="Arial" w:cs="Arial"/>
                <w:color w:val="000000"/>
                <w:sz w:val="20"/>
                <w:szCs w:val="20"/>
              </w:rPr>
            </w:pPr>
          </w:p>
        </w:tc>
        <w:tc>
          <w:tcPr>
            <w:tcW w:w="816" w:type="dxa"/>
            <w:tcBorders>
              <w:top w:val="nil"/>
              <w:left w:val="nil"/>
              <w:bottom w:val="nil"/>
              <w:right w:val="nil"/>
            </w:tcBorders>
            <w:noWrap/>
            <w:vAlign w:val="bottom"/>
          </w:tcPr>
          <w:p w14:paraId="1AD151BE">
            <w:pPr>
              <w:rPr>
                <w:rFonts w:ascii="Arial" w:hAnsi="Arial" w:cs="Arial"/>
                <w:color w:val="000000"/>
                <w:sz w:val="20"/>
                <w:szCs w:val="20"/>
              </w:rPr>
            </w:pPr>
          </w:p>
        </w:tc>
        <w:tc>
          <w:tcPr>
            <w:tcW w:w="371" w:type="dxa"/>
            <w:tcBorders>
              <w:top w:val="nil"/>
              <w:left w:val="nil"/>
              <w:bottom w:val="nil"/>
              <w:right w:val="nil"/>
            </w:tcBorders>
            <w:noWrap/>
            <w:vAlign w:val="bottom"/>
          </w:tcPr>
          <w:p w14:paraId="4929570F">
            <w:pPr>
              <w:rPr>
                <w:rFonts w:ascii="Arial" w:hAnsi="Arial" w:cs="Arial"/>
                <w:color w:val="000000"/>
                <w:sz w:val="20"/>
                <w:szCs w:val="20"/>
              </w:rPr>
            </w:pPr>
          </w:p>
        </w:tc>
        <w:tc>
          <w:tcPr>
            <w:tcW w:w="491" w:type="dxa"/>
            <w:tcBorders>
              <w:top w:val="nil"/>
              <w:left w:val="nil"/>
              <w:bottom w:val="nil"/>
              <w:right w:val="nil"/>
            </w:tcBorders>
            <w:noWrap/>
            <w:vAlign w:val="bottom"/>
          </w:tcPr>
          <w:p w14:paraId="37542DD7">
            <w:pPr>
              <w:rPr>
                <w:rFonts w:ascii="Arial" w:hAnsi="Arial" w:cs="Arial"/>
                <w:color w:val="000000"/>
                <w:sz w:val="20"/>
                <w:szCs w:val="20"/>
              </w:rPr>
            </w:pPr>
          </w:p>
        </w:tc>
        <w:tc>
          <w:tcPr>
            <w:tcW w:w="503" w:type="dxa"/>
            <w:tcBorders>
              <w:top w:val="nil"/>
              <w:left w:val="nil"/>
              <w:bottom w:val="nil"/>
              <w:right w:val="nil"/>
            </w:tcBorders>
            <w:noWrap/>
            <w:vAlign w:val="bottom"/>
          </w:tcPr>
          <w:p w14:paraId="030A326B">
            <w:pPr>
              <w:rPr>
                <w:rFonts w:ascii="Arial" w:hAnsi="Arial" w:cs="Arial"/>
                <w:color w:val="000000"/>
                <w:sz w:val="20"/>
                <w:szCs w:val="20"/>
              </w:rPr>
            </w:pPr>
          </w:p>
        </w:tc>
        <w:tc>
          <w:tcPr>
            <w:tcW w:w="471" w:type="dxa"/>
            <w:tcBorders>
              <w:top w:val="nil"/>
              <w:left w:val="nil"/>
              <w:bottom w:val="nil"/>
              <w:right w:val="nil"/>
            </w:tcBorders>
            <w:noWrap/>
            <w:vAlign w:val="bottom"/>
          </w:tcPr>
          <w:p w14:paraId="46606C31">
            <w:pPr>
              <w:rPr>
                <w:rFonts w:ascii="Arial" w:hAnsi="Arial" w:cs="Arial"/>
                <w:color w:val="000000"/>
                <w:sz w:val="20"/>
                <w:szCs w:val="20"/>
              </w:rPr>
            </w:pPr>
          </w:p>
        </w:tc>
      </w:tr>
    </w:tbl>
    <w:p w14:paraId="3B75E3E3">
      <w:pPr>
        <w:pStyle w:val="9"/>
        <w:adjustRightInd w:val="0"/>
        <w:snapToGrid w:val="0"/>
        <w:spacing w:before="0" w:beforeAutospacing="0" w:after="0" w:afterAutospacing="0" w:line="360" w:lineRule="auto"/>
        <w:jc w:val="center"/>
        <w:rPr>
          <w:rFonts w:ascii="Times New Roman" w:hAnsi="Times New Roman" w:eastAsia="黑体" w:cs="Times New Roman"/>
          <w:bCs/>
          <w:sz w:val="36"/>
          <w:szCs w:val="36"/>
        </w:rPr>
        <w:sectPr>
          <w:pgSz w:w="16838" w:h="11906" w:orient="landscape"/>
          <w:pgMar w:top="1797" w:right="1440" w:bottom="1418" w:left="1440" w:header="851" w:footer="992" w:gutter="0"/>
          <w:cols w:space="720" w:num="1"/>
          <w:docGrid w:type="linesAndChars" w:linePitch="312" w:charSpace="0"/>
        </w:sectPr>
      </w:pPr>
    </w:p>
    <w:tbl>
      <w:tblPr>
        <w:tblStyle w:val="10"/>
        <w:tblW w:w="9413" w:type="dxa"/>
        <w:tblInd w:w="93" w:type="dxa"/>
        <w:tblLayout w:type="autofit"/>
        <w:tblCellMar>
          <w:top w:w="0" w:type="dxa"/>
          <w:left w:w="108" w:type="dxa"/>
          <w:bottom w:w="0" w:type="dxa"/>
          <w:right w:w="108" w:type="dxa"/>
        </w:tblCellMar>
      </w:tblPr>
      <w:tblGrid>
        <w:gridCol w:w="1416"/>
        <w:gridCol w:w="3096"/>
        <w:gridCol w:w="1770"/>
        <w:gridCol w:w="1492"/>
        <w:gridCol w:w="1639"/>
      </w:tblGrid>
      <w:tr w14:paraId="12EE9F82">
        <w:tblPrEx>
          <w:tblCellMar>
            <w:top w:w="0" w:type="dxa"/>
            <w:left w:w="108" w:type="dxa"/>
            <w:bottom w:w="0" w:type="dxa"/>
            <w:right w:w="108" w:type="dxa"/>
          </w:tblCellMar>
        </w:tblPrEx>
        <w:trPr>
          <w:trHeight w:val="252" w:hRule="atLeast"/>
        </w:trPr>
        <w:tc>
          <w:tcPr>
            <w:tcW w:w="1416" w:type="dxa"/>
            <w:tcBorders>
              <w:top w:val="nil"/>
              <w:left w:val="nil"/>
              <w:bottom w:val="nil"/>
              <w:right w:val="nil"/>
            </w:tcBorders>
            <w:noWrap/>
            <w:vAlign w:val="bottom"/>
          </w:tcPr>
          <w:p w14:paraId="09A9D7CC">
            <w:pPr>
              <w:rPr>
                <w:rFonts w:ascii="Arial" w:hAnsi="Arial" w:cs="Arial"/>
                <w:color w:val="000000"/>
                <w:sz w:val="20"/>
                <w:szCs w:val="20"/>
              </w:rPr>
            </w:pPr>
          </w:p>
        </w:tc>
        <w:tc>
          <w:tcPr>
            <w:tcW w:w="3096" w:type="dxa"/>
            <w:tcBorders>
              <w:top w:val="nil"/>
              <w:left w:val="nil"/>
              <w:bottom w:val="nil"/>
              <w:right w:val="nil"/>
            </w:tcBorders>
            <w:noWrap/>
            <w:vAlign w:val="bottom"/>
          </w:tcPr>
          <w:p w14:paraId="38C85912">
            <w:pPr>
              <w:rPr>
                <w:rFonts w:ascii="Arial" w:hAnsi="Arial" w:cs="Arial"/>
                <w:color w:val="000000"/>
                <w:sz w:val="20"/>
                <w:szCs w:val="20"/>
              </w:rPr>
            </w:pPr>
          </w:p>
        </w:tc>
        <w:tc>
          <w:tcPr>
            <w:tcW w:w="1770" w:type="dxa"/>
            <w:tcBorders>
              <w:top w:val="nil"/>
              <w:left w:val="nil"/>
              <w:bottom w:val="nil"/>
              <w:right w:val="nil"/>
            </w:tcBorders>
            <w:noWrap/>
            <w:vAlign w:val="bottom"/>
          </w:tcPr>
          <w:p w14:paraId="190FDB76">
            <w:pPr>
              <w:rPr>
                <w:rFonts w:ascii="Arial" w:hAnsi="Arial" w:cs="Arial"/>
                <w:color w:val="000000"/>
                <w:sz w:val="20"/>
                <w:szCs w:val="20"/>
              </w:rPr>
            </w:pPr>
          </w:p>
        </w:tc>
        <w:tc>
          <w:tcPr>
            <w:tcW w:w="3131" w:type="dxa"/>
            <w:gridSpan w:val="2"/>
            <w:tcBorders>
              <w:top w:val="nil"/>
              <w:left w:val="nil"/>
              <w:bottom w:val="nil"/>
              <w:right w:val="nil"/>
            </w:tcBorders>
            <w:noWrap/>
            <w:vAlign w:val="bottom"/>
          </w:tcPr>
          <w:p w14:paraId="4111DF9B">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部门（单位）公开表3</w:t>
            </w:r>
          </w:p>
        </w:tc>
      </w:tr>
      <w:tr w14:paraId="2D78D01F">
        <w:tblPrEx>
          <w:tblCellMar>
            <w:top w:w="0" w:type="dxa"/>
            <w:left w:w="108" w:type="dxa"/>
            <w:bottom w:w="0" w:type="dxa"/>
            <w:right w:w="108" w:type="dxa"/>
          </w:tblCellMar>
        </w:tblPrEx>
        <w:trPr>
          <w:trHeight w:val="504" w:hRule="atLeast"/>
        </w:trPr>
        <w:tc>
          <w:tcPr>
            <w:tcW w:w="0" w:type="auto"/>
            <w:gridSpan w:val="5"/>
            <w:tcBorders>
              <w:top w:val="nil"/>
              <w:left w:val="nil"/>
              <w:bottom w:val="nil"/>
              <w:right w:val="nil"/>
            </w:tcBorders>
            <w:noWrap/>
            <w:vAlign w:val="center"/>
          </w:tcPr>
          <w:p w14:paraId="75F8D0ED">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rPr>
              <w:t>表三、2024年支出总表</w:t>
            </w:r>
          </w:p>
        </w:tc>
      </w:tr>
      <w:tr w14:paraId="4949557D">
        <w:tblPrEx>
          <w:tblCellMar>
            <w:top w:w="0" w:type="dxa"/>
            <w:left w:w="108" w:type="dxa"/>
            <w:bottom w:w="0" w:type="dxa"/>
            <w:right w:w="108" w:type="dxa"/>
          </w:tblCellMar>
        </w:tblPrEx>
        <w:trPr>
          <w:trHeight w:val="210" w:hRule="atLeast"/>
        </w:trPr>
        <w:tc>
          <w:tcPr>
            <w:tcW w:w="0" w:type="auto"/>
            <w:gridSpan w:val="2"/>
            <w:tcBorders>
              <w:top w:val="nil"/>
              <w:left w:val="nil"/>
              <w:bottom w:val="nil"/>
              <w:right w:val="nil"/>
            </w:tcBorders>
            <w:noWrap/>
            <w:vAlign w:val="center"/>
          </w:tcPr>
          <w:p w14:paraId="1F658EE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[077]黄山市经济和信息化局 </w:t>
            </w:r>
          </w:p>
        </w:tc>
        <w:tc>
          <w:tcPr>
            <w:tcW w:w="0" w:type="auto"/>
            <w:tcBorders>
              <w:top w:val="nil"/>
              <w:left w:val="nil"/>
              <w:bottom w:val="nil"/>
              <w:right w:val="nil"/>
            </w:tcBorders>
            <w:noWrap/>
            <w:vAlign w:val="center"/>
          </w:tcPr>
          <w:p w14:paraId="5AC790EF">
            <w:pPr>
              <w:rPr>
                <w:rFonts w:ascii="宋体" w:hAnsi="宋体" w:cs="宋体"/>
                <w:color w:val="000000"/>
                <w:sz w:val="18"/>
                <w:szCs w:val="18"/>
              </w:rPr>
            </w:pPr>
          </w:p>
        </w:tc>
        <w:tc>
          <w:tcPr>
            <w:tcW w:w="0" w:type="auto"/>
            <w:tcBorders>
              <w:top w:val="nil"/>
              <w:left w:val="nil"/>
              <w:bottom w:val="nil"/>
              <w:right w:val="nil"/>
            </w:tcBorders>
            <w:noWrap/>
            <w:vAlign w:val="center"/>
          </w:tcPr>
          <w:p w14:paraId="6317E272">
            <w:pPr>
              <w:rPr>
                <w:rFonts w:ascii="宋体" w:hAnsi="宋体" w:cs="宋体"/>
                <w:color w:val="000000"/>
                <w:sz w:val="18"/>
                <w:szCs w:val="18"/>
              </w:rPr>
            </w:pPr>
          </w:p>
        </w:tc>
        <w:tc>
          <w:tcPr>
            <w:tcW w:w="0" w:type="auto"/>
            <w:tcBorders>
              <w:top w:val="nil"/>
              <w:left w:val="nil"/>
              <w:bottom w:val="nil"/>
              <w:right w:val="nil"/>
            </w:tcBorders>
            <w:noWrap/>
            <w:vAlign w:val="center"/>
          </w:tcPr>
          <w:p w14:paraId="33713B7E">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单位：万元</w:t>
            </w:r>
          </w:p>
        </w:tc>
      </w:tr>
      <w:tr w14:paraId="37097675">
        <w:tblPrEx>
          <w:tblCellMar>
            <w:top w:w="0" w:type="dxa"/>
            <w:left w:w="108" w:type="dxa"/>
            <w:bottom w:w="0" w:type="dxa"/>
            <w:right w:w="108" w:type="dxa"/>
          </w:tblCellMar>
        </w:tblPrEx>
        <w:trPr>
          <w:trHeight w:val="4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B9DE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功能科目编码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BE6D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功能科目名称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5D6B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603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9690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r>
      <w:tr w14:paraId="075B055D">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4F6D33">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3739B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DDB480">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748.65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281F0">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675.91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1238E">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72.74</w:t>
            </w:r>
          </w:p>
        </w:tc>
      </w:tr>
      <w:tr w14:paraId="452F804A">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6E6CA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B460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一般公共服务支出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DC32D8">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17871B">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F4C561">
            <w:pPr>
              <w:jc w:val="right"/>
              <w:rPr>
                <w:rFonts w:ascii="宋体" w:hAnsi="宋体" w:cs="宋体"/>
                <w:color w:val="000000"/>
                <w:sz w:val="18"/>
                <w:szCs w:val="18"/>
              </w:rPr>
            </w:pPr>
          </w:p>
        </w:tc>
      </w:tr>
      <w:tr w14:paraId="4A806D08">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8CFCF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20136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E0D44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其他共产党事务支出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57926">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1CBBE">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87E8CA">
            <w:pPr>
              <w:jc w:val="right"/>
              <w:rPr>
                <w:rFonts w:ascii="宋体" w:hAnsi="宋体" w:cs="宋体"/>
                <w:color w:val="000000"/>
                <w:sz w:val="18"/>
                <w:szCs w:val="18"/>
              </w:rPr>
            </w:pPr>
          </w:p>
        </w:tc>
      </w:tr>
      <w:tr w14:paraId="414BE7BC">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AF2B28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2013699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84C10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其他共产党事务支出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9CBB8">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D4D149">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B17626">
            <w:pPr>
              <w:jc w:val="right"/>
              <w:rPr>
                <w:rFonts w:ascii="宋体" w:hAnsi="宋体" w:cs="宋体"/>
                <w:color w:val="000000"/>
                <w:sz w:val="18"/>
                <w:szCs w:val="18"/>
              </w:rPr>
            </w:pPr>
          </w:p>
        </w:tc>
      </w:tr>
      <w:tr w14:paraId="3A205A24">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7B5E4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B98C3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社会保障和就业支出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B5D32C">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201.92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2AB5AD">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201.92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097393">
            <w:pPr>
              <w:jc w:val="right"/>
              <w:rPr>
                <w:rFonts w:ascii="宋体" w:hAnsi="宋体" w:cs="宋体"/>
                <w:color w:val="000000"/>
                <w:sz w:val="18"/>
                <w:szCs w:val="18"/>
              </w:rPr>
            </w:pPr>
          </w:p>
        </w:tc>
      </w:tr>
      <w:tr w14:paraId="7B1CD733">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A59487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20805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F5A6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行政事业单位养老支出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5068ED">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201.92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31BDB4">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201.92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48E32">
            <w:pPr>
              <w:jc w:val="right"/>
              <w:rPr>
                <w:rFonts w:ascii="宋体" w:hAnsi="宋体" w:cs="宋体"/>
                <w:color w:val="000000"/>
                <w:sz w:val="18"/>
                <w:szCs w:val="18"/>
              </w:rPr>
            </w:pPr>
          </w:p>
        </w:tc>
      </w:tr>
      <w:tr w14:paraId="186D3593">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5EAFB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2080501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0D5F4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行政单位离退休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CB610D">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125.91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48A9C8">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125.91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71D11E">
            <w:pPr>
              <w:jc w:val="right"/>
              <w:rPr>
                <w:rFonts w:ascii="宋体" w:hAnsi="宋体" w:cs="宋体"/>
                <w:color w:val="000000"/>
                <w:sz w:val="18"/>
                <w:szCs w:val="18"/>
              </w:rPr>
            </w:pPr>
          </w:p>
        </w:tc>
      </w:tr>
      <w:tr w14:paraId="5D061019">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4D448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2080505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6604B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DB0B2F">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50.67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594FA5">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50.67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E49FD6">
            <w:pPr>
              <w:jc w:val="right"/>
              <w:rPr>
                <w:rFonts w:ascii="宋体" w:hAnsi="宋体" w:cs="宋体"/>
                <w:color w:val="000000"/>
                <w:sz w:val="18"/>
                <w:szCs w:val="18"/>
              </w:rPr>
            </w:pPr>
          </w:p>
        </w:tc>
      </w:tr>
      <w:tr w14:paraId="5EC579A4">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15418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2080506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67637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642ADD">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25.33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391292">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25.33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D48EEE">
            <w:pPr>
              <w:jc w:val="right"/>
              <w:rPr>
                <w:rFonts w:ascii="宋体" w:hAnsi="宋体" w:cs="宋体"/>
                <w:color w:val="000000"/>
                <w:sz w:val="18"/>
                <w:szCs w:val="18"/>
              </w:rPr>
            </w:pPr>
          </w:p>
        </w:tc>
      </w:tr>
      <w:tr w14:paraId="1ECAD2CE">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9D5A7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7EFB0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卫生健康支出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1691DD">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3B3E89">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27.68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8ACAC">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12.74</w:t>
            </w:r>
          </w:p>
        </w:tc>
      </w:tr>
      <w:tr w14:paraId="5CE3FF48">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625EA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21004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8D9E8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公共卫生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849AEE">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D0DD7A">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FCB5E0">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12.74</w:t>
            </w:r>
          </w:p>
        </w:tc>
      </w:tr>
      <w:tr w14:paraId="7A92A7F1">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641DF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2100409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FACC4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重大公共卫生服务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570EC7">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009455">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A5CC7">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12.74</w:t>
            </w:r>
          </w:p>
        </w:tc>
      </w:tr>
      <w:tr w14:paraId="5E993C64">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553B0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21011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319F9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行政事业单位医疗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C0CE40">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27.68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D49153">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27.68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8DD77">
            <w:pPr>
              <w:jc w:val="right"/>
              <w:rPr>
                <w:rFonts w:ascii="宋体" w:hAnsi="宋体" w:cs="宋体"/>
                <w:color w:val="000000"/>
                <w:sz w:val="18"/>
                <w:szCs w:val="18"/>
              </w:rPr>
            </w:pPr>
          </w:p>
        </w:tc>
      </w:tr>
      <w:tr w14:paraId="0C3D2BA4">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437FF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2101101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9B34C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行政单位医疗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FC6E5">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27.68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D6744">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27.68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DF25A7">
            <w:pPr>
              <w:jc w:val="right"/>
              <w:rPr>
                <w:rFonts w:ascii="宋体" w:hAnsi="宋体" w:cs="宋体"/>
                <w:color w:val="000000"/>
                <w:sz w:val="18"/>
                <w:szCs w:val="18"/>
              </w:rPr>
            </w:pPr>
          </w:p>
        </w:tc>
      </w:tr>
      <w:tr w14:paraId="065D92A2">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5ABE6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2428C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资源勘探工业信息等支出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015276">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464.47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2C3CE7">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404.47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E881B">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60.00</w:t>
            </w:r>
          </w:p>
        </w:tc>
      </w:tr>
      <w:tr w14:paraId="2813EB89">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D804A0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21505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23B2D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工业和信息产业监管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659DD">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461.47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48888">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404.47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6D037F">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57.00</w:t>
            </w:r>
          </w:p>
        </w:tc>
      </w:tr>
      <w:tr w14:paraId="43F0D883">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9CEF4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2150501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723A6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行政运行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8228B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461.47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ACF0F0">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404.47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6F1D6B">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57.00</w:t>
            </w:r>
          </w:p>
        </w:tc>
      </w:tr>
      <w:tr w14:paraId="46C06A6B">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9446F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21599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2B117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其他资源勘探工业信息等支出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3F9086">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A1C88">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49270D">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3.00</w:t>
            </w:r>
          </w:p>
        </w:tc>
      </w:tr>
      <w:tr w14:paraId="56531A49">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83325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2159999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21239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其他资源勘探工业信息等支出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91543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61AB50">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5674D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3.00</w:t>
            </w:r>
          </w:p>
        </w:tc>
      </w:tr>
      <w:tr w14:paraId="6A804770">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324BA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E2F15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住房保障支出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026273">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240597">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5D7FA0">
            <w:pPr>
              <w:jc w:val="right"/>
              <w:rPr>
                <w:rFonts w:ascii="宋体" w:hAnsi="宋体" w:cs="宋体"/>
                <w:color w:val="000000"/>
                <w:sz w:val="18"/>
                <w:szCs w:val="18"/>
              </w:rPr>
            </w:pPr>
          </w:p>
        </w:tc>
      </w:tr>
      <w:tr w14:paraId="5579B0F9">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74C25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22102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BDA99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住房改革支出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D4EF0">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3874A3">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62C35C">
            <w:pPr>
              <w:jc w:val="right"/>
              <w:rPr>
                <w:rFonts w:ascii="宋体" w:hAnsi="宋体" w:cs="宋体"/>
                <w:color w:val="000000"/>
                <w:sz w:val="18"/>
                <w:szCs w:val="18"/>
              </w:rPr>
            </w:pPr>
          </w:p>
        </w:tc>
      </w:tr>
      <w:tr w14:paraId="2C33F4AC">
        <w:tblPrEx>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30C62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2210201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1B98C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住房公积金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13D101">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4FAC08">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AA6B5">
            <w:pPr>
              <w:jc w:val="right"/>
              <w:rPr>
                <w:rFonts w:ascii="宋体" w:hAnsi="宋体" w:cs="宋体"/>
                <w:color w:val="000000"/>
                <w:sz w:val="18"/>
                <w:szCs w:val="18"/>
              </w:rPr>
            </w:pPr>
          </w:p>
        </w:tc>
      </w:tr>
    </w:tbl>
    <w:p w14:paraId="6430D3FF">
      <w:pPr>
        <w:pStyle w:val="9"/>
        <w:adjustRightInd w:val="0"/>
        <w:snapToGrid w:val="0"/>
        <w:spacing w:before="0" w:beforeAutospacing="0" w:after="0" w:afterAutospacing="0" w:line="360" w:lineRule="auto"/>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br w:type="page"/>
      </w:r>
    </w:p>
    <w:tbl>
      <w:tblPr>
        <w:tblStyle w:val="10"/>
        <w:tblW w:w="8658" w:type="dxa"/>
        <w:tblInd w:w="93" w:type="dxa"/>
        <w:tblLayout w:type="fixed"/>
        <w:tblCellMar>
          <w:top w:w="0" w:type="dxa"/>
          <w:left w:w="108" w:type="dxa"/>
          <w:bottom w:w="0" w:type="dxa"/>
          <w:right w:w="108" w:type="dxa"/>
        </w:tblCellMar>
      </w:tblPr>
      <w:tblGrid>
        <w:gridCol w:w="2573"/>
        <w:gridCol w:w="888"/>
        <w:gridCol w:w="1864"/>
        <w:gridCol w:w="1032"/>
        <w:gridCol w:w="918"/>
        <w:gridCol w:w="642"/>
        <w:gridCol w:w="741"/>
      </w:tblGrid>
      <w:tr w14:paraId="5EFA07C8">
        <w:tblPrEx>
          <w:tblCellMar>
            <w:top w:w="0" w:type="dxa"/>
            <w:left w:w="108" w:type="dxa"/>
            <w:bottom w:w="0" w:type="dxa"/>
            <w:right w:w="108" w:type="dxa"/>
          </w:tblCellMar>
        </w:tblPrEx>
        <w:trPr>
          <w:trHeight w:val="90" w:hRule="atLeast"/>
        </w:trPr>
        <w:tc>
          <w:tcPr>
            <w:tcW w:w="2573" w:type="dxa"/>
            <w:tcBorders>
              <w:top w:val="nil"/>
              <w:left w:val="nil"/>
              <w:bottom w:val="nil"/>
              <w:right w:val="nil"/>
            </w:tcBorders>
            <w:noWrap/>
            <w:vAlign w:val="bottom"/>
          </w:tcPr>
          <w:p w14:paraId="583D4E01">
            <w:pPr>
              <w:rPr>
                <w:rFonts w:ascii="Arial" w:hAnsi="Arial" w:cs="Arial"/>
                <w:color w:val="000000"/>
                <w:sz w:val="20"/>
                <w:szCs w:val="20"/>
              </w:rPr>
            </w:pPr>
          </w:p>
        </w:tc>
        <w:tc>
          <w:tcPr>
            <w:tcW w:w="888" w:type="dxa"/>
            <w:tcBorders>
              <w:top w:val="nil"/>
              <w:left w:val="nil"/>
              <w:bottom w:val="nil"/>
              <w:right w:val="nil"/>
            </w:tcBorders>
            <w:noWrap/>
            <w:vAlign w:val="bottom"/>
          </w:tcPr>
          <w:p w14:paraId="4EA2DCB9">
            <w:pPr>
              <w:rPr>
                <w:rFonts w:ascii="Calibri" w:hAnsi="Calibri" w:cs="Calibri"/>
                <w:color w:val="000000"/>
                <w:sz w:val="22"/>
                <w:szCs w:val="22"/>
              </w:rPr>
            </w:pPr>
          </w:p>
        </w:tc>
        <w:tc>
          <w:tcPr>
            <w:tcW w:w="1864" w:type="dxa"/>
            <w:tcBorders>
              <w:top w:val="nil"/>
              <w:left w:val="nil"/>
              <w:bottom w:val="nil"/>
              <w:right w:val="nil"/>
            </w:tcBorders>
            <w:noWrap/>
            <w:vAlign w:val="bottom"/>
          </w:tcPr>
          <w:p w14:paraId="17F985FD">
            <w:pPr>
              <w:rPr>
                <w:rFonts w:ascii="Arial" w:hAnsi="Arial" w:cs="Arial"/>
                <w:color w:val="000000"/>
                <w:sz w:val="20"/>
                <w:szCs w:val="20"/>
              </w:rPr>
            </w:pPr>
          </w:p>
        </w:tc>
        <w:tc>
          <w:tcPr>
            <w:tcW w:w="3333" w:type="dxa"/>
            <w:gridSpan w:val="4"/>
            <w:tcBorders>
              <w:top w:val="nil"/>
              <w:left w:val="nil"/>
              <w:bottom w:val="nil"/>
              <w:right w:val="nil"/>
            </w:tcBorders>
            <w:noWrap/>
            <w:vAlign w:val="bottom"/>
          </w:tcPr>
          <w:p w14:paraId="32908728">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部门（单位）公开表4</w:t>
            </w:r>
          </w:p>
        </w:tc>
      </w:tr>
      <w:tr w14:paraId="0DB390BB">
        <w:tblPrEx>
          <w:tblCellMar>
            <w:top w:w="0" w:type="dxa"/>
            <w:left w:w="108" w:type="dxa"/>
            <w:bottom w:w="0" w:type="dxa"/>
            <w:right w:w="108" w:type="dxa"/>
          </w:tblCellMar>
        </w:tblPrEx>
        <w:trPr>
          <w:trHeight w:val="90" w:hRule="atLeast"/>
        </w:trPr>
        <w:tc>
          <w:tcPr>
            <w:tcW w:w="8658" w:type="dxa"/>
            <w:gridSpan w:val="7"/>
            <w:tcBorders>
              <w:top w:val="nil"/>
              <w:left w:val="nil"/>
              <w:bottom w:val="nil"/>
              <w:right w:val="nil"/>
            </w:tcBorders>
            <w:noWrap/>
            <w:vAlign w:val="center"/>
          </w:tcPr>
          <w:p w14:paraId="23B75544">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rPr>
              <w:t>表四、2024年财政拨款收支总表</w:t>
            </w:r>
          </w:p>
        </w:tc>
      </w:tr>
      <w:tr w14:paraId="7BAFE9BC">
        <w:tblPrEx>
          <w:tblCellMar>
            <w:top w:w="0" w:type="dxa"/>
            <w:left w:w="108" w:type="dxa"/>
            <w:bottom w:w="0" w:type="dxa"/>
            <w:right w:w="108" w:type="dxa"/>
          </w:tblCellMar>
        </w:tblPrEx>
        <w:trPr>
          <w:trHeight w:val="90" w:hRule="atLeast"/>
        </w:trPr>
        <w:tc>
          <w:tcPr>
            <w:tcW w:w="2573" w:type="dxa"/>
            <w:tcBorders>
              <w:top w:val="nil"/>
              <w:left w:val="nil"/>
              <w:bottom w:val="nil"/>
              <w:right w:val="nil"/>
            </w:tcBorders>
            <w:noWrap/>
            <w:vAlign w:val="center"/>
          </w:tcPr>
          <w:p w14:paraId="19F4F8E0">
            <w:pPr>
              <w:jc w:val="center"/>
              <w:rPr>
                <w:rFonts w:ascii="宋体" w:hAnsi="宋体" w:cs="宋体"/>
                <w:b/>
                <w:bCs/>
                <w:color w:val="000000"/>
                <w:sz w:val="44"/>
                <w:szCs w:val="44"/>
              </w:rPr>
            </w:pPr>
          </w:p>
        </w:tc>
        <w:tc>
          <w:tcPr>
            <w:tcW w:w="888" w:type="dxa"/>
            <w:tcBorders>
              <w:top w:val="nil"/>
              <w:left w:val="nil"/>
              <w:bottom w:val="nil"/>
              <w:right w:val="nil"/>
            </w:tcBorders>
            <w:noWrap/>
            <w:vAlign w:val="center"/>
          </w:tcPr>
          <w:p w14:paraId="5D737EE2">
            <w:pPr>
              <w:jc w:val="center"/>
              <w:rPr>
                <w:rFonts w:ascii="宋体" w:hAnsi="宋体" w:cs="宋体"/>
                <w:b/>
                <w:bCs/>
                <w:color w:val="000000"/>
                <w:sz w:val="44"/>
                <w:szCs w:val="44"/>
              </w:rPr>
            </w:pPr>
          </w:p>
        </w:tc>
        <w:tc>
          <w:tcPr>
            <w:tcW w:w="1864" w:type="dxa"/>
            <w:tcBorders>
              <w:top w:val="nil"/>
              <w:left w:val="nil"/>
              <w:bottom w:val="nil"/>
              <w:right w:val="nil"/>
            </w:tcBorders>
            <w:noWrap/>
            <w:vAlign w:val="center"/>
          </w:tcPr>
          <w:p w14:paraId="2AF3C56C">
            <w:pPr>
              <w:jc w:val="center"/>
              <w:rPr>
                <w:rFonts w:ascii="宋体" w:hAnsi="宋体" w:cs="宋体"/>
                <w:b/>
                <w:bCs/>
                <w:color w:val="000000"/>
                <w:sz w:val="44"/>
                <w:szCs w:val="44"/>
              </w:rPr>
            </w:pPr>
          </w:p>
        </w:tc>
        <w:tc>
          <w:tcPr>
            <w:tcW w:w="1032" w:type="dxa"/>
            <w:tcBorders>
              <w:top w:val="nil"/>
              <w:left w:val="nil"/>
              <w:bottom w:val="nil"/>
              <w:right w:val="nil"/>
            </w:tcBorders>
            <w:noWrap/>
            <w:vAlign w:val="center"/>
          </w:tcPr>
          <w:p w14:paraId="504432CF">
            <w:pPr>
              <w:jc w:val="center"/>
              <w:rPr>
                <w:rFonts w:ascii="宋体" w:hAnsi="宋体" w:cs="宋体"/>
                <w:b/>
                <w:bCs/>
                <w:color w:val="000000"/>
                <w:sz w:val="44"/>
                <w:szCs w:val="44"/>
              </w:rPr>
            </w:pPr>
          </w:p>
        </w:tc>
        <w:tc>
          <w:tcPr>
            <w:tcW w:w="918" w:type="dxa"/>
            <w:tcBorders>
              <w:top w:val="nil"/>
              <w:left w:val="nil"/>
              <w:bottom w:val="nil"/>
              <w:right w:val="nil"/>
            </w:tcBorders>
            <w:noWrap/>
            <w:vAlign w:val="center"/>
          </w:tcPr>
          <w:p w14:paraId="261FE934">
            <w:pPr>
              <w:jc w:val="center"/>
              <w:rPr>
                <w:rFonts w:ascii="宋体" w:hAnsi="宋体" w:cs="宋体"/>
                <w:b/>
                <w:bCs/>
                <w:color w:val="000000"/>
                <w:sz w:val="44"/>
                <w:szCs w:val="44"/>
              </w:rPr>
            </w:pPr>
          </w:p>
        </w:tc>
        <w:tc>
          <w:tcPr>
            <w:tcW w:w="642" w:type="dxa"/>
            <w:tcBorders>
              <w:top w:val="nil"/>
              <w:left w:val="nil"/>
              <w:bottom w:val="nil"/>
              <w:right w:val="nil"/>
            </w:tcBorders>
            <w:noWrap/>
            <w:vAlign w:val="center"/>
          </w:tcPr>
          <w:p w14:paraId="39E7697F">
            <w:pPr>
              <w:jc w:val="center"/>
              <w:rPr>
                <w:rFonts w:ascii="宋体" w:hAnsi="宋体" w:cs="宋体"/>
                <w:b/>
                <w:bCs/>
                <w:color w:val="000000"/>
                <w:sz w:val="44"/>
                <w:szCs w:val="44"/>
              </w:rPr>
            </w:pPr>
          </w:p>
        </w:tc>
        <w:tc>
          <w:tcPr>
            <w:tcW w:w="741" w:type="dxa"/>
            <w:tcBorders>
              <w:top w:val="nil"/>
              <w:left w:val="nil"/>
              <w:bottom w:val="nil"/>
              <w:right w:val="nil"/>
            </w:tcBorders>
            <w:noWrap/>
            <w:vAlign w:val="center"/>
          </w:tcPr>
          <w:p w14:paraId="30B2E5B8">
            <w:pPr>
              <w:jc w:val="center"/>
              <w:rPr>
                <w:rFonts w:ascii="宋体" w:hAnsi="宋体" w:cs="宋体"/>
                <w:b/>
                <w:bCs/>
                <w:color w:val="000000"/>
                <w:sz w:val="44"/>
                <w:szCs w:val="44"/>
              </w:rPr>
            </w:pPr>
          </w:p>
        </w:tc>
      </w:tr>
      <w:tr w14:paraId="03A2407E">
        <w:tblPrEx>
          <w:tblCellMar>
            <w:top w:w="0" w:type="dxa"/>
            <w:left w:w="108" w:type="dxa"/>
            <w:bottom w:w="0" w:type="dxa"/>
            <w:right w:w="108" w:type="dxa"/>
          </w:tblCellMar>
        </w:tblPrEx>
        <w:trPr>
          <w:trHeight w:val="90" w:hRule="atLeast"/>
        </w:trPr>
        <w:tc>
          <w:tcPr>
            <w:tcW w:w="6357" w:type="dxa"/>
            <w:gridSpan w:val="4"/>
            <w:tcBorders>
              <w:top w:val="nil"/>
              <w:left w:val="nil"/>
              <w:bottom w:val="nil"/>
              <w:right w:val="nil"/>
            </w:tcBorders>
            <w:noWrap/>
            <w:vAlign w:val="center"/>
          </w:tcPr>
          <w:p w14:paraId="731055A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[077]黄山市经济和信息化局 </w:t>
            </w:r>
          </w:p>
        </w:tc>
        <w:tc>
          <w:tcPr>
            <w:tcW w:w="918" w:type="dxa"/>
            <w:tcBorders>
              <w:top w:val="nil"/>
              <w:left w:val="nil"/>
              <w:bottom w:val="nil"/>
              <w:right w:val="nil"/>
            </w:tcBorders>
            <w:noWrap/>
            <w:vAlign w:val="bottom"/>
          </w:tcPr>
          <w:p w14:paraId="26878BDE">
            <w:pPr>
              <w:rPr>
                <w:rFonts w:ascii="Arial" w:hAnsi="Arial" w:cs="Arial"/>
                <w:color w:val="000000"/>
                <w:sz w:val="20"/>
                <w:szCs w:val="20"/>
              </w:rPr>
            </w:pPr>
          </w:p>
        </w:tc>
        <w:tc>
          <w:tcPr>
            <w:tcW w:w="642" w:type="dxa"/>
            <w:tcBorders>
              <w:top w:val="nil"/>
              <w:left w:val="nil"/>
              <w:bottom w:val="nil"/>
              <w:right w:val="nil"/>
            </w:tcBorders>
            <w:noWrap/>
            <w:vAlign w:val="bottom"/>
          </w:tcPr>
          <w:p w14:paraId="3B6AAAE4">
            <w:pPr>
              <w:rPr>
                <w:rFonts w:ascii="Arial" w:hAnsi="Arial" w:cs="Arial"/>
                <w:color w:val="000000"/>
                <w:sz w:val="20"/>
                <w:szCs w:val="20"/>
              </w:rPr>
            </w:pPr>
          </w:p>
        </w:tc>
        <w:tc>
          <w:tcPr>
            <w:tcW w:w="741" w:type="dxa"/>
            <w:tcBorders>
              <w:top w:val="nil"/>
              <w:left w:val="nil"/>
              <w:bottom w:val="nil"/>
              <w:right w:val="nil"/>
            </w:tcBorders>
            <w:noWrap/>
            <w:vAlign w:val="center"/>
          </w:tcPr>
          <w:p w14:paraId="2895226C">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单位：万元</w:t>
            </w:r>
          </w:p>
        </w:tc>
      </w:tr>
      <w:tr w14:paraId="0E3D153E">
        <w:tblPrEx>
          <w:tblCellMar>
            <w:top w:w="0" w:type="dxa"/>
            <w:left w:w="108" w:type="dxa"/>
            <w:bottom w:w="0" w:type="dxa"/>
            <w:right w:w="108" w:type="dxa"/>
          </w:tblCellMar>
        </w:tblPrEx>
        <w:trPr>
          <w:trHeight w:val="90" w:hRule="atLeast"/>
        </w:trPr>
        <w:tc>
          <w:tcPr>
            <w:tcW w:w="3461" w:type="dxa"/>
            <w:gridSpan w:val="2"/>
            <w:tcBorders>
              <w:top w:val="single" w:color="000000" w:sz="4" w:space="0"/>
              <w:left w:val="single" w:color="000000" w:sz="4" w:space="0"/>
              <w:bottom w:val="single" w:color="000000" w:sz="4" w:space="0"/>
              <w:right w:val="single" w:color="000000" w:sz="4" w:space="0"/>
            </w:tcBorders>
            <w:noWrap/>
            <w:vAlign w:val="center"/>
          </w:tcPr>
          <w:p w14:paraId="40FCDA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收入</w:t>
            </w:r>
          </w:p>
        </w:tc>
        <w:tc>
          <w:tcPr>
            <w:tcW w:w="5197" w:type="dxa"/>
            <w:gridSpan w:val="5"/>
            <w:tcBorders>
              <w:top w:val="single" w:color="000000" w:sz="4" w:space="0"/>
              <w:left w:val="single" w:color="000000" w:sz="4" w:space="0"/>
              <w:bottom w:val="single" w:color="000000" w:sz="4" w:space="0"/>
              <w:right w:val="single" w:color="000000" w:sz="4" w:space="0"/>
            </w:tcBorders>
            <w:noWrap/>
            <w:vAlign w:val="center"/>
          </w:tcPr>
          <w:p w14:paraId="22763A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w:t>
            </w:r>
          </w:p>
        </w:tc>
      </w:tr>
      <w:tr w14:paraId="22D6424E">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12C3E5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项目</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6AFE3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293878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项目</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3ECB82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110513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一般公共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预算拨款</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0179E9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政府性基金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预算拨款</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58266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国有资本经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营预算拨款</w:t>
            </w:r>
          </w:p>
        </w:tc>
      </w:tr>
      <w:tr w14:paraId="4815A073">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8D5B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一、一般公共预算拨款收入</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85EB8AE">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732.91</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29FCFCC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一、一般公共服务支出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B8F1FAB">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1.10</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549BBE93">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1.10</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7DB8FC02">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F06A20F">
            <w:pPr>
              <w:jc w:val="right"/>
              <w:rPr>
                <w:rFonts w:ascii="宋体" w:hAnsi="宋体" w:cs="宋体"/>
                <w:color w:val="000000"/>
                <w:sz w:val="18"/>
                <w:szCs w:val="18"/>
              </w:rPr>
            </w:pPr>
          </w:p>
        </w:tc>
      </w:tr>
      <w:tr w14:paraId="74711708">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9390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其中：国库管理非税收入</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D7E0220">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0.80</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02D9FE7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二、外交支出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13B3EB8">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6DAF0FC7">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70474082">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AF44C7F">
            <w:pPr>
              <w:jc w:val="right"/>
              <w:rPr>
                <w:rFonts w:ascii="宋体" w:hAnsi="宋体" w:cs="宋体"/>
                <w:color w:val="000000"/>
                <w:sz w:val="18"/>
                <w:szCs w:val="18"/>
              </w:rPr>
            </w:pPr>
          </w:p>
        </w:tc>
      </w:tr>
      <w:tr w14:paraId="7B3B419C">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6072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二、政府性基金预算拨款收入</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9FBA292">
            <w:pPr>
              <w:rPr>
                <w:rFonts w:ascii="Calibri" w:hAnsi="Calibri" w:cs="Calibri"/>
                <w:color w:val="000000"/>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41B54B9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三、国防支出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1DE41287">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50A597B8">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1FB474EC">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880F7C4">
            <w:pPr>
              <w:jc w:val="right"/>
              <w:rPr>
                <w:rFonts w:ascii="宋体" w:hAnsi="宋体" w:cs="宋体"/>
                <w:color w:val="000000"/>
                <w:sz w:val="18"/>
                <w:szCs w:val="18"/>
              </w:rPr>
            </w:pPr>
          </w:p>
        </w:tc>
      </w:tr>
      <w:tr w14:paraId="322255AA">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9401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三、国有资本经营预算拨款收入</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9548295">
            <w:pPr>
              <w:rPr>
                <w:rFonts w:ascii="Calibri" w:hAnsi="Calibri" w:cs="Calibri"/>
                <w:color w:val="000000"/>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28DAF0D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四、公共安全支出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473CE076">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701D5F2C">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6ED0E89D">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4C4F021">
            <w:pPr>
              <w:jc w:val="right"/>
              <w:rPr>
                <w:rFonts w:ascii="宋体" w:hAnsi="宋体" w:cs="宋体"/>
                <w:color w:val="000000"/>
                <w:sz w:val="18"/>
                <w:szCs w:val="18"/>
              </w:rPr>
            </w:pPr>
          </w:p>
        </w:tc>
      </w:tr>
      <w:tr w14:paraId="42E10232">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2F8CA183">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B7C6473">
            <w:pPr>
              <w:jc w:val="right"/>
              <w:rPr>
                <w:rFonts w:ascii="宋体" w:hAnsi="宋体" w:cs="宋体"/>
                <w:color w:val="000000"/>
                <w:sz w:val="24"/>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7DDA401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五、教育支出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3454B37C">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69F22DDD">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0D45D06F">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7D363EA">
            <w:pPr>
              <w:jc w:val="right"/>
              <w:rPr>
                <w:rFonts w:ascii="宋体" w:hAnsi="宋体" w:cs="宋体"/>
                <w:color w:val="000000"/>
                <w:sz w:val="18"/>
                <w:szCs w:val="18"/>
              </w:rPr>
            </w:pPr>
          </w:p>
        </w:tc>
      </w:tr>
      <w:tr w14:paraId="626AD634">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19F99078">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93E931F">
            <w:pPr>
              <w:jc w:val="right"/>
              <w:rPr>
                <w:rFonts w:ascii="宋体" w:hAnsi="宋体" w:cs="宋体"/>
                <w:color w:val="000000"/>
                <w:sz w:val="24"/>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4F8AA55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六、科学技术支出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697128E5">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2E430E1A">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6A814810">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3393A69">
            <w:pPr>
              <w:jc w:val="right"/>
              <w:rPr>
                <w:rFonts w:ascii="宋体" w:hAnsi="宋体" w:cs="宋体"/>
                <w:color w:val="000000"/>
                <w:sz w:val="18"/>
                <w:szCs w:val="18"/>
              </w:rPr>
            </w:pPr>
          </w:p>
        </w:tc>
      </w:tr>
      <w:tr w14:paraId="1656ABB9">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1FEA86DD">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bottom"/>
          </w:tcPr>
          <w:p w14:paraId="3004C34D">
            <w:pPr>
              <w:rPr>
                <w:rFonts w:ascii="Calibri" w:hAnsi="Calibri" w:cs="Calibri"/>
                <w:color w:val="000000"/>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6159B53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七、文化旅游体育与传媒支出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B140A06">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3BAA68AE">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1DDE22B4">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A92DDB1">
            <w:pPr>
              <w:jc w:val="right"/>
              <w:rPr>
                <w:rFonts w:ascii="宋体" w:hAnsi="宋体" w:cs="宋体"/>
                <w:color w:val="000000"/>
                <w:sz w:val="18"/>
                <w:szCs w:val="18"/>
              </w:rPr>
            </w:pPr>
          </w:p>
        </w:tc>
      </w:tr>
      <w:tr w14:paraId="4E810E30">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130F4CAF">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B98C90A">
            <w:pPr>
              <w:jc w:val="right"/>
              <w:rPr>
                <w:rFonts w:ascii="宋体" w:hAnsi="宋体" w:cs="宋体"/>
                <w:color w:val="000000"/>
                <w:sz w:val="24"/>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6C5B5A8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八、社会保障和就业支出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9C0EAE5">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201.92</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200C8E9D">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201.92</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24DB2E87">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59404FF">
            <w:pPr>
              <w:jc w:val="right"/>
              <w:rPr>
                <w:rFonts w:ascii="宋体" w:hAnsi="宋体" w:cs="宋体"/>
                <w:color w:val="000000"/>
                <w:sz w:val="18"/>
                <w:szCs w:val="18"/>
              </w:rPr>
            </w:pPr>
          </w:p>
        </w:tc>
      </w:tr>
      <w:tr w14:paraId="6F109320">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211FB38E">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AA7D2CE">
            <w:pPr>
              <w:jc w:val="right"/>
              <w:rPr>
                <w:rFonts w:ascii="宋体" w:hAnsi="宋体" w:cs="宋体"/>
                <w:color w:val="000000"/>
                <w:sz w:val="24"/>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3D95E95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九、社会保险基金支出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16F4B850">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18D171F3">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1A5D3514">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7025110">
            <w:pPr>
              <w:jc w:val="right"/>
              <w:rPr>
                <w:rFonts w:ascii="宋体" w:hAnsi="宋体" w:cs="宋体"/>
                <w:color w:val="000000"/>
                <w:sz w:val="18"/>
                <w:szCs w:val="18"/>
              </w:rPr>
            </w:pPr>
          </w:p>
        </w:tc>
      </w:tr>
      <w:tr w14:paraId="30A8E360">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479AA4D5">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bottom"/>
          </w:tcPr>
          <w:p w14:paraId="38A59F24">
            <w:pPr>
              <w:rPr>
                <w:rFonts w:ascii="Calibri" w:hAnsi="Calibri" w:cs="Calibri"/>
                <w:color w:val="000000"/>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641E9E4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十、卫生健康支出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F2F8F08">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40.42</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6289E8F2">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40.42</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5D871651">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F5BFFBE">
            <w:pPr>
              <w:jc w:val="right"/>
              <w:rPr>
                <w:rFonts w:ascii="宋体" w:hAnsi="宋体" w:cs="宋体"/>
                <w:color w:val="000000"/>
                <w:sz w:val="18"/>
                <w:szCs w:val="18"/>
              </w:rPr>
            </w:pPr>
          </w:p>
        </w:tc>
      </w:tr>
      <w:tr w14:paraId="021FF6BE">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1F3CC4A8">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bottom"/>
          </w:tcPr>
          <w:p w14:paraId="42C26D95">
            <w:pPr>
              <w:rPr>
                <w:rFonts w:ascii="Calibri" w:hAnsi="Calibri" w:cs="Calibri"/>
                <w:color w:val="000000"/>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63C0B94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十一、节能环保支出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B91D15F">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402639E0">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18F8BF5E">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69C3AB2">
            <w:pPr>
              <w:jc w:val="right"/>
              <w:rPr>
                <w:rFonts w:ascii="宋体" w:hAnsi="宋体" w:cs="宋体"/>
                <w:color w:val="000000"/>
                <w:sz w:val="18"/>
                <w:szCs w:val="18"/>
              </w:rPr>
            </w:pPr>
          </w:p>
        </w:tc>
      </w:tr>
      <w:tr w14:paraId="40A0D47E">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2E273EF1">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bottom"/>
          </w:tcPr>
          <w:p w14:paraId="7D2D5B57">
            <w:pPr>
              <w:rPr>
                <w:rFonts w:ascii="Calibri" w:hAnsi="Calibri" w:cs="Calibri"/>
                <w:color w:val="000000"/>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142BFA2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十二、城乡社区支出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4E3A2A93">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6EEEB24B">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296B3F44">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3027983">
            <w:pPr>
              <w:jc w:val="right"/>
              <w:rPr>
                <w:rFonts w:ascii="宋体" w:hAnsi="宋体" w:cs="宋体"/>
                <w:color w:val="000000"/>
                <w:sz w:val="18"/>
                <w:szCs w:val="18"/>
              </w:rPr>
            </w:pPr>
          </w:p>
        </w:tc>
      </w:tr>
      <w:tr w14:paraId="0114158A">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214B6BB8">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bottom"/>
          </w:tcPr>
          <w:p w14:paraId="0CC3DA10">
            <w:pPr>
              <w:rPr>
                <w:rFonts w:ascii="Calibri" w:hAnsi="Calibri" w:cs="Calibri"/>
                <w:color w:val="000000"/>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3F9A7C6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十三、农林水支出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1652219">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5829F311">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1EF4F832">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DBF1C0B">
            <w:pPr>
              <w:jc w:val="right"/>
              <w:rPr>
                <w:rFonts w:ascii="宋体" w:hAnsi="宋体" w:cs="宋体"/>
                <w:color w:val="000000"/>
                <w:sz w:val="18"/>
                <w:szCs w:val="18"/>
              </w:rPr>
            </w:pPr>
          </w:p>
        </w:tc>
      </w:tr>
      <w:tr w14:paraId="113575DD">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4C4333A4">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bottom"/>
          </w:tcPr>
          <w:p w14:paraId="0BEE2CE3">
            <w:pPr>
              <w:rPr>
                <w:rFonts w:ascii="Calibri" w:hAnsi="Calibri" w:cs="Calibri"/>
                <w:color w:val="000000"/>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6C4D9B8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十四、交通运输支出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29668F7">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2F89F2F9">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6E44058E">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2D84EB6">
            <w:pPr>
              <w:jc w:val="right"/>
              <w:rPr>
                <w:rFonts w:ascii="宋体" w:hAnsi="宋体" w:cs="宋体"/>
                <w:color w:val="000000"/>
                <w:sz w:val="18"/>
                <w:szCs w:val="18"/>
              </w:rPr>
            </w:pPr>
          </w:p>
        </w:tc>
      </w:tr>
      <w:tr w14:paraId="3BA2B6A2">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6FF55E7A">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bottom"/>
          </w:tcPr>
          <w:p w14:paraId="4CD0B75C">
            <w:pPr>
              <w:rPr>
                <w:rFonts w:ascii="Calibri" w:hAnsi="Calibri" w:cs="Calibri"/>
                <w:color w:val="000000"/>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0839CF4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十五、资源勘探工业信息等支出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104272B1">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464.47</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2CF3315F">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464.47</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47521BC7">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5E9C483">
            <w:pPr>
              <w:jc w:val="right"/>
              <w:rPr>
                <w:rFonts w:ascii="宋体" w:hAnsi="宋体" w:cs="宋体"/>
                <w:color w:val="000000"/>
                <w:sz w:val="18"/>
                <w:szCs w:val="18"/>
              </w:rPr>
            </w:pPr>
          </w:p>
        </w:tc>
      </w:tr>
      <w:tr w14:paraId="17A5D69B">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460CBFF3">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6BA7EA5">
            <w:pPr>
              <w:jc w:val="right"/>
              <w:rPr>
                <w:rFonts w:ascii="宋体" w:hAnsi="宋体" w:cs="宋体"/>
                <w:color w:val="000000"/>
                <w:sz w:val="24"/>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5507051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十六、商业服务业等支出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2AC1679D">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2435C2B0">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405D301A">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9A651FF">
            <w:pPr>
              <w:jc w:val="right"/>
              <w:rPr>
                <w:rFonts w:ascii="宋体" w:hAnsi="宋体" w:cs="宋体"/>
                <w:color w:val="000000"/>
                <w:sz w:val="18"/>
                <w:szCs w:val="18"/>
              </w:rPr>
            </w:pPr>
          </w:p>
        </w:tc>
      </w:tr>
      <w:tr w14:paraId="31DF6691">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3BA8CAF7">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3149E2A2">
            <w:pPr>
              <w:jc w:val="right"/>
              <w:rPr>
                <w:rFonts w:ascii="宋体" w:hAnsi="宋体" w:cs="宋体"/>
                <w:color w:val="000000"/>
                <w:sz w:val="24"/>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7ABAD85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十七、金融支出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E0D7ADB">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59CCC9D8">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74096EF6">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FB7113A">
            <w:pPr>
              <w:jc w:val="right"/>
              <w:rPr>
                <w:rFonts w:ascii="宋体" w:hAnsi="宋体" w:cs="宋体"/>
                <w:color w:val="000000"/>
                <w:sz w:val="18"/>
                <w:szCs w:val="18"/>
              </w:rPr>
            </w:pPr>
          </w:p>
        </w:tc>
      </w:tr>
      <w:tr w14:paraId="3D4CD2DB">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4182FAA5">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bottom"/>
          </w:tcPr>
          <w:p w14:paraId="65267922">
            <w:pPr>
              <w:rPr>
                <w:rFonts w:ascii="Calibri" w:hAnsi="Calibri" w:cs="Calibri"/>
                <w:color w:val="000000"/>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13F0B07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十八、援助其他地区支出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4AD42E88">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1F2C9BB2">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707A912C">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759A615">
            <w:pPr>
              <w:jc w:val="right"/>
              <w:rPr>
                <w:rFonts w:ascii="宋体" w:hAnsi="宋体" w:cs="宋体"/>
                <w:color w:val="000000"/>
                <w:sz w:val="18"/>
                <w:szCs w:val="18"/>
              </w:rPr>
            </w:pPr>
          </w:p>
        </w:tc>
      </w:tr>
      <w:tr w14:paraId="2BFA1EE4">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73F37E40">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3A1349E0">
            <w:pPr>
              <w:jc w:val="right"/>
              <w:rPr>
                <w:rFonts w:ascii="宋体" w:hAnsi="宋体" w:cs="宋体"/>
                <w:color w:val="000000"/>
                <w:sz w:val="24"/>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60CAFF4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十九、自然资源海洋气象等支出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06D33B9">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3A74040E">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7A9456A5">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5E00CA8">
            <w:pPr>
              <w:jc w:val="right"/>
              <w:rPr>
                <w:rFonts w:ascii="宋体" w:hAnsi="宋体" w:cs="宋体"/>
                <w:color w:val="000000"/>
                <w:sz w:val="18"/>
                <w:szCs w:val="18"/>
              </w:rPr>
            </w:pPr>
          </w:p>
        </w:tc>
      </w:tr>
      <w:tr w14:paraId="3C12803C">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689D175E">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1C777236">
            <w:pPr>
              <w:jc w:val="right"/>
              <w:rPr>
                <w:rFonts w:ascii="宋体" w:hAnsi="宋体" w:cs="宋体"/>
                <w:color w:val="000000"/>
                <w:sz w:val="24"/>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6B771A9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二十、住房保障支出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439CE8DF">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40.74</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11256F32">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40.74</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533B6E71">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052C429">
            <w:pPr>
              <w:jc w:val="right"/>
              <w:rPr>
                <w:rFonts w:ascii="宋体" w:hAnsi="宋体" w:cs="宋体"/>
                <w:color w:val="000000"/>
                <w:sz w:val="18"/>
                <w:szCs w:val="18"/>
              </w:rPr>
            </w:pPr>
          </w:p>
        </w:tc>
      </w:tr>
      <w:tr w14:paraId="1B75726D">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5019AA3C">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bottom"/>
          </w:tcPr>
          <w:p w14:paraId="5CF103CA">
            <w:pPr>
              <w:rPr>
                <w:rFonts w:ascii="Calibri" w:hAnsi="Calibri" w:cs="Calibri"/>
                <w:color w:val="000000"/>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130A778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二十一、粮油物资储备支出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136F1D4D">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33D09C48">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677F51CC">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0B713C2">
            <w:pPr>
              <w:jc w:val="right"/>
              <w:rPr>
                <w:rFonts w:ascii="宋体" w:hAnsi="宋体" w:cs="宋体"/>
                <w:color w:val="000000"/>
                <w:sz w:val="18"/>
                <w:szCs w:val="18"/>
              </w:rPr>
            </w:pPr>
          </w:p>
        </w:tc>
      </w:tr>
      <w:tr w14:paraId="6E65911C">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610F06C7">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E2155DA">
            <w:pPr>
              <w:jc w:val="right"/>
              <w:rPr>
                <w:rFonts w:ascii="宋体" w:hAnsi="宋体" w:cs="宋体"/>
                <w:color w:val="000000"/>
                <w:sz w:val="24"/>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603671D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二十二、国有资本经营预算支出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2D68B13C">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01356129">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61AA2056">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64355D3">
            <w:pPr>
              <w:jc w:val="right"/>
              <w:rPr>
                <w:rFonts w:ascii="宋体" w:hAnsi="宋体" w:cs="宋体"/>
                <w:color w:val="000000"/>
                <w:sz w:val="18"/>
                <w:szCs w:val="18"/>
              </w:rPr>
            </w:pPr>
          </w:p>
        </w:tc>
      </w:tr>
      <w:tr w14:paraId="4051D309">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5D3F915A">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192AF11">
            <w:pPr>
              <w:jc w:val="right"/>
              <w:rPr>
                <w:rFonts w:ascii="宋体" w:hAnsi="宋体" w:cs="宋体"/>
                <w:color w:val="000000"/>
                <w:sz w:val="24"/>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71C0126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二十三、灾害防治及应急管理支出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2C33557">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0E774880">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4ADE0A70">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8BDE77B">
            <w:pPr>
              <w:jc w:val="right"/>
              <w:rPr>
                <w:rFonts w:ascii="宋体" w:hAnsi="宋体" w:cs="宋体"/>
                <w:color w:val="000000"/>
                <w:sz w:val="18"/>
                <w:szCs w:val="18"/>
              </w:rPr>
            </w:pPr>
          </w:p>
        </w:tc>
      </w:tr>
      <w:tr w14:paraId="5FB5B949">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6789">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31B">
            <w:pPr>
              <w:jc w:val="right"/>
              <w:rPr>
                <w:rFonts w:ascii="宋体" w:hAnsi="宋体" w:cs="宋体"/>
                <w:color w:val="000000"/>
                <w:sz w:val="24"/>
              </w:rPr>
            </w:pPr>
          </w:p>
        </w:tc>
        <w:tc>
          <w:tcPr>
            <w:tcW w:w="1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1CA0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二十四、预备费</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52E1B5D">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0A23B872">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3BBF2DA0">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8F6030C">
            <w:pPr>
              <w:jc w:val="right"/>
              <w:rPr>
                <w:rFonts w:ascii="宋体" w:hAnsi="宋体" w:cs="宋体"/>
                <w:color w:val="000000"/>
                <w:sz w:val="18"/>
                <w:szCs w:val="18"/>
              </w:rPr>
            </w:pPr>
          </w:p>
        </w:tc>
      </w:tr>
      <w:tr w14:paraId="02150266">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375F">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E0DB">
            <w:pPr>
              <w:jc w:val="right"/>
              <w:rPr>
                <w:rFonts w:ascii="宋体" w:hAnsi="宋体" w:cs="宋体"/>
                <w:color w:val="000000"/>
                <w:sz w:val="24"/>
              </w:rPr>
            </w:pPr>
          </w:p>
        </w:tc>
        <w:tc>
          <w:tcPr>
            <w:tcW w:w="1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B787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二十五、其他支出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B64E54">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44D4B368">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1A06266F">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75563C3">
            <w:pPr>
              <w:jc w:val="right"/>
              <w:rPr>
                <w:rFonts w:ascii="宋体" w:hAnsi="宋体" w:cs="宋体"/>
                <w:color w:val="000000"/>
                <w:sz w:val="18"/>
                <w:szCs w:val="18"/>
              </w:rPr>
            </w:pPr>
          </w:p>
        </w:tc>
      </w:tr>
      <w:tr w14:paraId="22F25126">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04B25AEE">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076E060">
            <w:pPr>
              <w:jc w:val="right"/>
              <w:rPr>
                <w:rFonts w:ascii="宋体" w:hAnsi="宋体" w:cs="宋体"/>
                <w:color w:val="000000"/>
                <w:sz w:val="24"/>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7B05FB6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二十六、转移性支出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31ACBDDF">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200850DC">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02F86481">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BCA7A9C">
            <w:pPr>
              <w:jc w:val="right"/>
              <w:rPr>
                <w:rFonts w:ascii="宋体" w:hAnsi="宋体" w:cs="宋体"/>
                <w:color w:val="000000"/>
                <w:sz w:val="18"/>
                <w:szCs w:val="18"/>
              </w:rPr>
            </w:pPr>
          </w:p>
        </w:tc>
      </w:tr>
      <w:tr w14:paraId="46C8307D">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025C6C16">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5AE1E84">
            <w:pPr>
              <w:jc w:val="right"/>
              <w:rPr>
                <w:rFonts w:ascii="宋体" w:hAnsi="宋体" w:cs="宋体"/>
                <w:color w:val="000000"/>
                <w:sz w:val="24"/>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3AAB1C5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二十七、债务还本支出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7F5FB3F">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04979AC8">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1AC1F163">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F0800C0">
            <w:pPr>
              <w:jc w:val="right"/>
              <w:rPr>
                <w:rFonts w:ascii="宋体" w:hAnsi="宋体" w:cs="宋体"/>
                <w:color w:val="000000"/>
                <w:sz w:val="18"/>
                <w:szCs w:val="18"/>
              </w:rPr>
            </w:pPr>
          </w:p>
        </w:tc>
      </w:tr>
      <w:tr w14:paraId="6387AF5A">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5B6E100E">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C7EB767">
            <w:pPr>
              <w:jc w:val="right"/>
              <w:rPr>
                <w:rFonts w:ascii="宋体" w:hAnsi="宋体" w:cs="宋体"/>
                <w:color w:val="000000"/>
                <w:sz w:val="24"/>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2E47D84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二十八、债务付息支出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1EB79FE1">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34D3E977">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69507264">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3AAC179">
            <w:pPr>
              <w:jc w:val="right"/>
              <w:rPr>
                <w:rFonts w:ascii="宋体" w:hAnsi="宋体" w:cs="宋体"/>
                <w:color w:val="000000"/>
                <w:sz w:val="18"/>
                <w:szCs w:val="18"/>
              </w:rPr>
            </w:pPr>
          </w:p>
        </w:tc>
      </w:tr>
      <w:tr w14:paraId="2FEC0F6D">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47E5EE4A">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E428C79">
            <w:pPr>
              <w:jc w:val="right"/>
              <w:rPr>
                <w:rFonts w:ascii="宋体" w:hAnsi="宋体" w:cs="宋体"/>
                <w:color w:val="000000"/>
                <w:sz w:val="24"/>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44104E0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二十九、债务发行费用支出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9EEEB3D">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5614CCB9">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287CD810">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C579CC9">
            <w:pPr>
              <w:jc w:val="right"/>
              <w:rPr>
                <w:rFonts w:ascii="宋体" w:hAnsi="宋体" w:cs="宋体"/>
                <w:color w:val="000000"/>
                <w:sz w:val="18"/>
                <w:szCs w:val="18"/>
              </w:rPr>
            </w:pPr>
          </w:p>
        </w:tc>
      </w:tr>
      <w:tr w14:paraId="7B0B1717">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126E5F7B">
            <w:pPr>
              <w:rPr>
                <w:rFonts w:ascii="宋体" w:hAnsi="宋体" w:cs="宋体"/>
                <w:b/>
                <w:bCs/>
                <w:color w:val="000000"/>
                <w:sz w:val="24"/>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1F118521">
            <w:pPr>
              <w:jc w:val="right"/>
              <w:rPr>
                <w:rFonts w:ascii="宋体" w:hAnsi="宋体" w:cs="宋体"/>
                <w:color w:val="000000"/>
                <w:sz w:val="24"/>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306EF84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三十、抗疫特别国债安排的支出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A36F91">
            <w:pPr>
              <w:jc w:val="right"/>
              <w:rPr>
                <w:rFonts w:ascii="宋体" w:hAnsi="宋体" w:cs="宋体"/>
                <w:color w:val="000000"/>
                <w:sz w:val="18"/>
                <w:szCs w:val="18"/>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562C8113">
            <w:pPr>
              <w:jc w:val="right"/>
              <w:rPr>
                <w:rFonts w:ascii="宋体" w:hAnsi="宋体" w:cs="宋体"/>
                <w:color w:val="000000"/>
                <w:sz w:val="18"/>
                <w:szCs w:val="18"/>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696585AA">
            <w:pPr>
              <w:jc w:val="right"/>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93373A0">
            <w:pPr>
              <w:jc w:val="right"/>
              <w:rPr>
                <w:rFonts w:ascii="宋体" w:hAnsi="宋体" w:cs="宋体"/>
                <w:color w:val="000000"/>
                <w:sz w:val="18"/>
                <w:szCs w:val="18"/>
              </w:rPr>
            </w:pPr>
          </w:p>
        </w:tc>
      </w:tr>
      <w:tr w14:paraId="41605B4A">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3A1D04AA">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本年收入小计</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3E34BCC">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732.91</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6FA76217">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本年支出小计</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1BD5DA8A">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748.65</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5FA2DD34">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748.65</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218B1189">
            <w:pPr>
              <w:jc w:val="right"/>
              <w:rPr>
                <w:rFonts w:ascii="宋体" w:hAnsi="宋体" w:cs="宋体"/>
                <w:b/>
                <w:bCs/>
                <w:color w:val="000000"/>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82A51F4">
            <w:pPr>
              <w:jc w:val="right"/>
              <w:rPr>
                <w:rFonts w:ascii="宋体" w:hAnsi="宋体" w:cs="宋体"/>
                <w:b/>
                <w:bCs/>
                <w:color w:val="000000"/>
                <w:sz w:val="20"/>
                <w:szCs w:val="20"/>
              </w:rPr>
            </w:pPr>
          </w:p>
        </w:tc>
      </w:tr>
      <w:tr w14:paraId="3140B070">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6A0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上年结转</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8C03">
            <w:pPr>
              <w:widowControl/>
              <w:jc w:val="right"/>
              <w:textAlignment w:val="center"/>
              <w:rPr>
                <w:rFonts w:ascii="宋体" w:hAnsi="宋体" w:cs="宋体"/>
                <w:color w:val="000000"/>
                <w:sz w:val="24"/>
              </w:rPr>
            </w:pPr>
            <w:r>
              <w:rPr>
                <w:rFonts w:hint="eastAsia" w:ascii="宋体" w:hAnsi="宋体" w:cs="宋体"/>
                <w:color w:val="000000"/>
                <w:kern w:val="0"/>
                <w:sz w:val="24"/>
              </w:rPr>
              <w:t>15.74</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6A8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结转下年</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7BF36">
            <w:pPr>
              <w:jc w:val="right"/>
              <w:rPr>
                <w:rFonts w:ascii="宋体" w:hAnsi="宋体" w:cs="宋体"/>
                <w:color w:val="000000"/>
                <w:sz w:val="20"/>
                <w:szCs w:val="20"/>
              </w:rPr>
            </w:pP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ADE94">
            <w:pPr>
              <w:jc w:val="right"/>
              <w:rPr>
                <w:rFonts w:ascii="宋体" w:hAnsi="宋体" w:cs="宋体"/>
                <w:color w:val="00000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A6861">
            <w:pPr>
              <w:jc w:val="right"/>
              <w:rPr>
                <w:rFonts w:ascii="宋体" w:hAnsi="宋体" w:cs="宋体"/>
                <w:color w:val="000000"/>
                <w:sz w:val="20"/>
                <w:szCs w:val="2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4302F">
            <w:pPr>
              <w:jc w:val="right"/>
              <w:rPr>
                <w:rFonts w:ascii="宋体" w:hAnsi="宋体" w:cs="宋体"/>
                <w:color w:val="000000"/>
                <w:sz w:val="20"/>
                <w:szCs w:val="20"/>
              </w:rPr>
            </w:pPr>
          </w:p>
        </w:tc>
      </w:tr>
      <w:tr w14:paraId="2E7810E1">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A4A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一般公共预算</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ED32">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15.74</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265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一般公共预算</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7F049">
            <w:pPr>
              <w:jc w:val="right"/>
              <w:rPr>
                <w:rFonts w:ascii="宋体" w:hAnsi="宋体" w:cs="宋体"/>
                <w:color w:val="000000"/>
                <w:sz w:val="20"/>
                <w:szCs w:val="20"/>
              </w:rPr>
            </w:pP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3BFCD">
            <w:pPr>
              <w:jc w:val="right"/>
              <w:rPr>
                <w:rFonts w:ascii="宋体" w:hAnsi="宋体" w:cs="宋体"/>
                <w:color w:val="00000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BDF58">
            <w:pPr>
              <w:jc w:val="right"/>
              <w:rPr>
                <w:rFonts w:ascii="宋体" w:hAnsi="宋体" w:cs="宋体"/>
                <w:color w:val="000000"/>
                <w:sz w:val="20"/>
                <w:szCs w:val="2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D84AF">
            <w:pPr>
              <w:jc w:val="right"/>
              <w:rPr>
                <w:rFonts w:ascii="宋体" w:hAnsi="宋体" w:cs="宋体"/>
                <w:color w:val="000000"/>
                <w:sz w:val="20"/>
                <w:szCs w:val="20"/>
              </w:rPr>
            </w:pPr>
          </w:p>
        </w:tc>
      </w:tr>
      <w:tr w14:paraId="074D1176">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198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政府性基金预算</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4FF3">
            <w:pPr>
              <w:rPr>
                <w:rFonts w:ascii="Calibri" w:hAnsi="Calibri" w:cs="Calibri"/>
                <w:color w:val="000000"/>
                <w:sz w:val="22"/>
                <w:szCs w:val="22"/>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7D3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政府性基金预算</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DEE69">
            <w:pPr>
              <w:jc w:val="right"/>
              <w:rPr>
                <w:rFonts w:ascii="宋体" w:hAnsi="宋体" w:cs="宋体"/>
                <w:color w:val="000000"/>
                <w:sz w:val="20"/>
                <w:szCs w:val="20"/>
              </w:rPr>
            </w:pP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B03E9">
            <w:pPr>
              <w:jc w:val="right"/>
              <w:rPr>
                <w:rFonts w:ascii="宋体" w:hAnsi="宋体" w:cs="宋体"/>
                <w:color w:val="00000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4E62B">
            <w:pPr>
              <w:jc w:val="right"/>
              <w:rPr>
                <w:rFonts w:ascii="宋体" w:hAnsi="宋体" w:cs="宋体"/>
                <w:color w:val="000000"/>
                <w:sz w:val="20"/>
                <w:szCs w:val="2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563F3">
            <w:pPr>
              <w:jc w:val="right"/>
              <w:rPr>
                <w:rFonts w:ascii="宋体" w:hAnsi="宋体" w:cs="宋体"/>
                <w:color w:val="000000"/>
                <w:sz w:val="20"/>
                <w:szCs w:val="20"/>
              </w:rPr>
            </w:pPr>
          </w:p>
        </w:tc>
      </w:tr>
      <w:tr w14:paraId="69026F2E">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5635A95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国有资本经营预算</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1EAA0C35">
            <w:pPr>
              <w:rPr>
                <w:rFonts w:ascii="Calibri" w:hAnsi="Calibri" w:cs="Calibri"/>
                <w:color w:val="000000"/>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1E1A5C8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国有资本经营预算</w:t>
            </w:r>
          </w:p>
        </w:tc>
        <w:tc>
          <w:tcPr>
            <w:tcW w:w="1032" w:type="dxa"/>
            <w:tcBorders>
              <w:top w:val="single" w:color="000000" w:sz="4" w:space="0"/>
              <w:left w:val="single" w:color="000000" w:sz="4" w:space="0"/>
              <w:bottom w:val="single" w:color="000000" w:sz="4" w:space="0"/>
              <w:right w:val="single" w:color="000000" w:sz="4" w:space="0"/>
            </w:tcBorders>
            <w:noWrap/>
            <w:vAlign w:val="bottom"/>
          </w:tcPr>
          <w:p w14:paraId="4EF2317F">
            <w:pPr>
              <w:rPr>
                <w:rFonts w:ascii="Calibri" w:hAnsi="Calibri" w:cs="Calibri"/>
                <w:color w:val="000000"/>
                <w:sz w:val="22"/>
                <w:szCs w:val="22"/>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2F348C67">
            <w:pPr>
              <w:jc w:val="center"/>
              <w:rPr>
                <w:rFonts w:ascii="宋体" w:hAnsi="宋体" w:cs="宋体"/>
                <w:b/>
                <w:bCs/>
                <w:color w:val="000000"/>
                <w:sz w:val="22"/>
                <w:szCs w:val="22"/>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3F6EE5BB">
            <w:pPr>
              <w:jc w:val="center"/>
              <w:rPr>
                <w:rFonts w:ascii="宋体" w:hAnsi="宋体" w:cs="宋体"/>
                <w:b/>
                <w:bCs/>
                <w:color w:val="000000"/>
                <w:sz w:val="24"/>
              </w:rPr>
            </w:pPr>
          </w:p>
        </w:tc>
        <w:tc>
          <w:tcPr>
            <w:tcW w:w="741" w:type="dxa"/>
            <w:tcBorders>
              <w:top w:val="single" w:color="000000" w:sz="4" w:space="0"/>
              <w:left w:val="single" w:color="000000" w:sz="4" w:space="0"/>
              <w:bottom w:val="single" w:color="000000" w:sz="4" w:space="0"/>
              <w:right w:val="single" w:color="000000" w:sz="4" w:space="0"/>
            </w:tcBorders>
            <w:noWrap/>
            <w:vAlign w:val="bottom"/>
          </w:tcPr>
          <w:p w14:paraId="0DB6384E">
            <w:pPr>
              <w:rPr>
                <w:rFonts w:ascii="Calibri" w:hAnsi="Calibri" w:cs="Calibri"/>
                <w:color w:val="000000"/>
                <w:sz w:val="24"/>
              </w:rPr>
            </w:pPr>
          </w:p>
        </w:tc>
      </w:tr>
      <w:tr w14:paraId="709EA624">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21B70A28">
            <w:pPr>
              <w:rPr>
                <w:rFonts w:ascii="宋体" w:hAnsi="宋体" w:cs="宋体"/>
                <w:color w:val="000000"/>
                <w:sz w:val="20"/>
                <w:szCs w:val="20"/>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322BC3C6">
            <w:pPr>
              <w:jc w:val="right"/>
              <w:rPr>
                <w:rFonts w:ascii="宋体" w:hAnsi="宋体" w:cs="宋体"/>
                <w:color w:val="000000"/>
                <w:sz w:val="24"/>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53894F67">
            <w:pPr>
              <w:jc w:val="left"/>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noWrap/>
            <w:vAlign w:val="bottom"/>
          </w:tcPr>
          <w:p w14:paraId="4AAEFCEA">
            <w:pPr>
              <w:rPr>
                <w:rFonts w:ascii="Calibri" w:hAnsi="Calibri" w:cs="Calibri"/>
                <w:color w:val="000000"/>
                <w:sz w:val="22"/>
                <w:szCs w:val="22"/>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5B4207D9">
            <w:pPr>
              <w:jc w:val="center"/>
              <w:rPr>
                <w:rFonts w:ascii="宋体" w:hAnsi="宋体" w:cs="宋体"/>
                <w:b/>
                <w:bCs/>
                <w:color w:val="000000"/>
                <w:sz w:val="22"/>
                <w:szCs w:val="22"/>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0FA24AC2">
            <w:pPr>
              <w:jc w:val="center"/>
              <w:rPr>
                <w:rFonts w:ascii="宋体" w:hAnsi="宋体" w:cs="宋体"/>
                <w:b/>
                <w:bCs/>
                <w:color w:val="000000"/>
                <w:sz w:val="24"/>
              </w:rPr>
            </w:pPr>
          </w:p>
        </w:tc>
        <w:tc>
          <w:tcPr>
            <w:tcW w:w="741" w:type="dxa"/>
            <w:tcBorders>
              <w:top w:val="single" w:color="000000" w:sz="4" w:space="0"/>
              <w:left w:val="single" w:color="000000" w:sz="4" w:space="0"/>
              <w:bottom w:val="single" w:color="000000" w:sz="4" w:space="0"/>
              <w:right w:val="single" w:color="000000" w:sz="4" w:space="0"/>
            </w:tcBorders>
            <w:noWrap/>
            <w:vAlign w:val="bottom"/>
          </w:tcPr>
          <w:p w14:paraId="6D81C0C2">
            <w:pPr>
              <w:rPr>
                <w:rFonts w:ascii="Calibri" w:hAnsi="Calibri" w:cs="Calibri"/>
                <w:color w:val="000000"/>
                <w:sz w:val="24"/>
              </w:rPr>
            </w:pPr>
          </w:p>
        </w:tc>
      </w:tr>
      <w:tr w14:paraId="7A51F33C">
        <w:tblPrEx>
          <w:tblCellMar>
            <w:top w:w="0" w:type="dxa"/>
            <w:left w:w="108" w:type="dxa"/>
            <w:bottom w:w="0" w:type="dxa"/>
            <w:right w:w="108" w:type="dxa"/>
          </w:tblCellMar>
        </w:tblPrEx>
        <w:trPr>
          <w:trHeight w:val="90" w:hRule="atLeast"/>
        </w:trPr>
        <w:tc>
          <w:tcPr>
            <w:tcW w:w="2573" w:type="dxa"/>
            <w:tcBorders>
              <w:top w:val="single" w:color="000000" w:sz="4" w:space="0"/>
              <w:left w:val="single" w:color="000000" w:sz="4" w:space="0"/>
              <w:bottom w:val="single" w:color="000000" w:sz="4" w:space="0"/>
              <w:right w:val="single" w:color="000000" w:sz="4" w:space="0"/>
            </w:tcBorders>
            <w:noWrap/>
            <w:vAlign w:val="center"/>
          </w:tcPr>
          <w:p w14:paraId="2627616B">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收入总计</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1A51CFA7">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748.65</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0B0B62DD">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本年支出小计</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433628B5">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748.65</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6958025F">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748.65</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1A261D93">
            <w:pPr>
              <w:jc w:val="right"/>
              <w:rPr>
                <w:rFonts w:ascii="宋体" w:hAnsi="宋体" w:cs="宋体"/>
                <w:b/>
                <w:bCs/>
                <w:color w:val="000000"/>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956DADB">
            <w:pPr>
              <w:jc w:val="right"/>
              <w:rPr>
                <w:rFonts w:ascii="宋体" w:hAnsi="宋体" w:cs="宋体"/>
                <w:b/>
                <w:bCs/>
                <w:color w:val="000000"/>
                <w:sz w:val="20"/>
                <w:szCs w:val="20"/>
              </w:rPr>
            </w:pPr>
          </w:p>
        </w:tc>
      </w:tr>
      <w:tr w14:paraId="2D14C558">
        <w:tblPrEx>
          <w:tblCellMar>
            <w:top w:w="0" w:type="dxa"/>
            <w:left w:w="108" w:type="dxa"/>
            <w:bottom w:w="0" w:type="dxa"/>
            <w:right w:w="108" w:type="dxa"/>
          </w:tblCellMar>
        </w:tblPrEx>
        <w:trPr>
          <w:trHeight w:val="90" w:hRule="atLeast"/>
        </w:trPr>
        <w:tc>
          <w:tcPr>
            <w:tcW w:w="2573" w:type="dxa"/>
            <w:tcBorders>
              <w:top w:val="nil"/>
              <w:left w:val="nil"/>
              <w:bottom w:val="nil"/>
              <w:right w:val="nil"/>
            </w:tcBorders>
            <w:noWrap/>
            <w:vAlign w:val="bottom"/>
          </w:tcPr>
          <w:p w14:paraId="67CF1D58">
            <w:pPr>
              <w:rPr>
                <w:rFonts w:ascii="Arial" w:hAnsi="Arial" w:cs="Arial"/>
                <w:color w:val="000000"/>
                <w:sz w:val="20"/>
                <w:szCs w:val="20"/>
              </w:rPr>
            </w:pPr>
          </w:p>
        </w:tc>
        <w:tc>
          <w:tcPr>
            <w:tcW w:w="888" w:type="dxa"/>
            <w:tcBorders>
              <w:top w:val="nil"/>
              <w:left w:val="nil"/>
              <w:bottom w:val="nil"/>
              <w:right w:val="nil"/>
            </w:tcBorders>
            <w:noWrap/>
            <w:vAlign w:val="bottom"/>
          </w:tcPr>
          <w:p w14:paraId="4F45127A">
            <w:pPr>
              <w:rPr>
                <w:rFonts w:ascii="Calibri" w:hAnsi="Calibri" w:cs="Calibri"/>
                <w:color w:val="000000"/>
                <w:sz w:val="22"/>
                <w:szCs w:val="22"/>
              </w:rPr>
            </w:pPr>
          </w:p>
        </w:tc>
        <w:tc>
          <w:tcPr>
            <w:tcW w:w="1864" w:type="dxa"/>
            <w:tcBorders>
              <w:top w:val="nil"/>
              <w:left w:val="nil"/>
              <w:bottom w:val="nil"/>
              <w:right w:val="nil"/>
            </w:tcBorders>
            <w:noWrap/>
            <w:vAlign w:val="bottom"/>
          </w:tcPr>
          <w:p w14:paraId="18C32026">
            <w:pPr>
              <w:rPr>
                <w:rFonts w:ascii="Arial" w:hAnsi="Arial" w:cs="Arial"/>
                <w:color w:val="000000"/>
                <w:sz w:val="20"/>
                <w:szCs w:val="20"/>
              </w:rPr>
            </w:pPr>
          </w:p>
        </w:tc>
        <w:tc>
          <w:tcPr>
            <w:tcW w:w="1032" w:type="dxa"/>
            <w:tcBorders>
              <w:top w:val="nil"/>
              <w:left w:val="nil"/>
              <w:bottom w:val="nil"/>
              <w:right w:val="nil"/>
            </w:tcBorders>
            <w:noWrap/>
            <w:vAlign w:val="bottom"/>
          </w:tcPr>
          <w:p w14:paraId="10A8E34D">
            <w:pPr>
              <w:rPr>
                <w:rFonts w:ascii="Calibri" w:hAnsi="Calibri" w:cs="Calibri"/>
                <w:color w:val="000000"/>
                <w:sz w:val="22"/>
                <w:szCs w:val="22"/>
              </w:rPr>
            </w:pPr>
          </w:p>
        </w:tc>
        <w:tc>
          <w:tcPr>
            <w:tcW w:w="918" w:type="dxa"/>
            <w:tcBorders>
              <w:top w:val="nil"/>
              <w:left w:val="nil"/>
              <w:bottom w:val="nil"/>
              <w:right w:val="nil"/>
            </w:tcBorders>
            <w:noWrap/>
            <w:vAlign w:val="bottom"/>
          </w:tcPr>
          <w:p w14:paraId="297125CC">
            <w:pPr>
              <w:rPr>
                <w:rFonts w:ascii="Arial" w:hAnsi="Arial" w:cs="Arial"/>
                <w:color w:val="000000"/>
                <w:sz w:val="20"/>
                <w:szCs w:val="20"/>
              </w:rPr>
            </w:pPr>
          </w:p>
        </w:tc>
        <w:tc>
          <w:tcPr>
            <w:tcW w:w="642" w:type="dxa"/>
            <w:tcBorders>
              <w:top w:val="nil"/>
              <w:left w:val="nil"/>
              <w:bottom w:val="nil"/>
              <w:right w:val="nil"/>
            </w:tcBorders>
            <w:noWrap/>
            <w:vAlign w:val="bottom"/>
          </w:tcPr>
          <w:p w14:paraId="031FA823">
            <w:pPr>
              <w:rPr>
                <w:rFonts w:ascii="Arial" w:hAnsi="Arial" w:cs="Arial"/>
                <w:color w:val="000000"/>
                <w:sz w:val="20"/>
                <w:szCs w:val="20"/>
              </w:rPr>
            </w:pPr>
          </w:p>
        </w:tc>
        <w:tc>
          <w:tcPr>
            <w:tcW w:w="741" w:type="dxa"/>
            <w:tcBorders>
              <w:top w:val="nil"/>
              <w:left w:val="nil"/>
              <w:bottom w:val="nil"/>
              <w:right w:val="nil"/>
            </w:tcBorders>
            <w:noWrap/>
            <w:vAlign w:val="bottom"/>
          </w:tcPr>
          <w:p w14:paraId="065B0AE4">
            <w:pPr>
              <w:rPr>
                <w:rFonts w:ascii="Calibri" w:hAnsi="Calibri" w:cs="Calibri"/>
                <w:color w:val="000000"/>
                <w:sz w:val="22"/>
                <w:szCs w:val="22"/>
              </w:rPr>
            </w:pPr>
          </w:p>
        </w:tc>
      </w:tr>
      <w:tr w14:paraId="62CCA754">
        <w:tblPrEx>
          <w:tblCellMar>
            <w:top w:w="0" w:type="dxa"/>
            <w:left w:w="108" w:type="dxa"/>
            <w:bottom w:w="0" w:type="dxa"/>
            <w:right w:w="108" w:type="dxa"/>
          </w:tblCellMar>
        </w:tblPrEx>
        <w:trPr>
          <w:trHeight w:val="90" w:hRule="atLeast"/>
        </w:trPr>
        <w:tc>
          <w:tcPr>
            <w:tcW w:w="2573" w:type="dxa"/>
            <w:tcBorders>
              <w:top w:val="nil"/>
              <w:left w:val="nil"/>
              <w:bottom w:val="nil"/>
              <w:right w:val="nil"/>
            </w:tcBorders>
            <w:noWrap/>
            <w:vAlign w:val="bottom"/>
          </w:tcPr>
          <w:p w14:paraId="0B15FC52">
            <w:pPr>
              <w:rPr>
                <w:rFonts w:ascii="Arial" w:hAnsi="Arial" w:cs="Arial"/>
                <w:color w:val="000000"/>
                <w:sz w:val="20"/>
                <w:szCs w:val="20"/>
              </w:rPr>
            </w:pPr>
          </w:p>
        </w:tc>
        <w:tc>
          <w:tcPr>
            <w:tcW w:w="888" w:type="dxa"/>
            <w:tcBorders>
              <w:top w:val="nil"/>
              <w:left w:val="nil"/>
              <w:bottom w:val="nil"/>
              <w:right w:val="nil"/>
            </w:tcBorders>
            <w:noWrap/>
            <w:vAlign w:val="bottom"/>
          </w:tcPr>
          <w:p w14:paraId="2BCBE64F">
            <w:pPr>
              <w:rPr>
                <w:rFonts w:ascii="Calibri" w:hAnsi="Calibri" w:cs="Calibri"/>
                <w:color w:val="000000"/>
                <w:sz w:val="22"/>
                <w:szCs w:val="22"/>
              </w:rPr>
            </w:pPr>
          </w:p>
        </w:tc>
        <w:tc>
          <w:tcPr>
            <w:tcW w:w="1864" w:type="dxa"/>
            <w:tcBorders>
              <w:top w:val="nil"/>
              <w:left w:val="nil"/>
              <w:bottom w:val="nil"/>
              <w:right w:val="nil"/>
            </w:tcBorders>
            <w:noWrap/>
            <w:vAlign w:val="bottom"/>
          </w:tcPr>
          <w:p w14:paraId="1972F633">
            <w:pPr>
              <w:rPr>
                <w:rFonts w:ascii="Arial" w:hAnsi="Arial" w:cs="Arial"/>
                <w:color w:val="000000"/>
                <w:sz w:val="20"/>
                <w:szCs w:val="20"/>
              </w:rPr>
            </w:pPr>
          </w:p>
        </w:tc>
        <w:tc>
          <w:tcPr>
            <w:tcW w:w="1032" w:type="dxa"/>
            <w:tcBorders>
              <w:top w:val="nil"/>
              <w:left w:val="nil"/>
              <w:bottom w:val="nil"/>
              <w:right w:val="nil"/>
            </w:tcBorders>
            <w:noWrap/>
            <w:vAlign w:val="bottom"/>
          </w:tcPr>
          <w:p w14:paraId="3B4CEE4E">
            <w:pPr>
              <w:rPr>
                <w:rFonts w:ascii="Calibri" w:hAnsi="Calibri" w:cs="Calibri"/>
                <w:color w:val="000000"/>
                <w:sz w:val="22"/>
                <w:szCs w:val="22"/>
              </w:rPr>
            </w:pPr>
          </w:p>
        </w:tc>
        <w:tc>
          <w:tcPr>
            <w:tcW w:w="918" w:type="dxa"/>
            <w:tcBorders>
              <w:top w:val="nil"/>
              <w:left w:val="nil"/>
              <w:bottom w:val="nil"/>
              <w:right w:val="nil"/>
            </w:tcBorders>
            <w:noWrap/>
            <w:vAlign w:val="bottom"/>
          </w:tcPr>
          <w:p w14:paraId="66672855">
            <w:pPr>
              <w:rPr>
                <w:rFonts w:ascii="Arial" w:hAnsi="Arial" w:cs="Arial"/>
                <w:color w:val="000000"/>
                <w:sz w:val="20"/>
                <w:szCs w:val="20"/>
              </w:rPr>
            </w:pPr>
          </w:p>
        </w:tc>
        <w:tc>
          <w:tcPr>
            <w:tcW w:w="642" w:type="dxa"/>
            <w:tcBorders>
              <w:top w:val="nil"/>
              <w:left w:val="nil"/>
              <w:bottom w:val="nil"/>
              <w:right w:val="nil"/>
            </w:tcBorders>
            <w:noWrap/>
            <w:vAlign w:val="bottom"/>
          </w:tcPr>
          <w:p w14:paraId="345E7759">
            <w:pPr>
              <w:rPr>
                <w:rFonts w:ascii="Arial" w:hAnsi="Arial" w:cs="Arial"/>
                <w:color w:val="000000"/>
                <w:sz w:val="20"/>
                <w:szCs w:val="20"/>
              </w:rPr>
            </w:pPr>
          </w:p>
        </w:tc>
        <w:tc>
          <w:tcPr>
            <w:tcW w:w="741" w:type="dxa"/>
            <w:tcBorders>
              <w:top w:val="nil"/>
              <w:left w:val="nil"/>
              <w:bottom w:val="nil"/>
              <w:right w:val="nil"/>
            </w:tcBorders>
            <w:noWrap/>
            <w:vAlign w:val="bottom"/>
          </w:tcPr>
          <w:p w14:paraId="08DA7054">
            <w:pPr>
              <w:rPr>
                <w:rFonts w:ascii="Calibri" w:hAnsi="Calibri" w:cs="Calibri"/>
                <w:color w:val="000000"/>
                <w:sz w:val="22"/>
                <w:szCs w:val="22"/>
              </w:rPr>
            </w:pPr>
          </w:p>
        </w:tc>
      </w:tr>
      <w:tr w14:paraId="371ED2BD">
        <w:tblPrEx>
          <w:tblCellMar>
            <w:top w:w="0" w:type="dxa"/>
            <w:left w:w="108" w:type="dxa"/>
            <w:bottom w:w="0" w:type="dxa"/>
            <w:right w:w="108" w:type="dxa"/>
          </w:tblCellMar>
        </w:tblPrEx>
        <w:trPr>
          <w:trHeight w:val="90" w:hRule="atLeast"/>
        </w:trPr>
        <w:tc>
          <w:tcPr>
            <w:tcW w:w="2573" w:type="dxa"/>
            <w:tcBorders>
              <w:top w:val="nil"/>
              <w:left w:val="nil"/>
              <w:bottom w:val="nil"/>
              <w:right w:val="nil"/>
            </w:tcBorders>
            <w:noWrap/>
            <w:vAlign w:val="bottom"/>
          </w:tcPr>
          <w:p w14:paraId="74B01BBE">
            <w:pPr>
              <w:rPr>
                <w:rFonts w:ascii="Arial" w:hAnsi="Arial" w:cs="Arial"/>
                <w:color w:val="000000"/>
                <w:sz w:val="20"/>
                <w:szCs w:val="20"/>
              </w:rPr>
            </w:pPr>
          </w:p>
        </w:tc>
        <w:tc>
          <w:tcPr>
            <w:tcW w:w="888" w:type="dxa"/>
            <w:tcBorders>
              <w:top w:val="nil"/>
              <w:left w:val="nil"/>
              <w:bottom w:val="nil"/>
              <w:right w:val="nil"/>
            </w:tcBorders>
            <w:noWrap/>
            <w:vAlign w:val="bottom"/>
          </w:tcPr>
          <w:p w14:paraId="04AE975D">
            <w:pPr>
              <w:rPr>
                <w:rFonts w:ascii="Calibri" w:hAnsi="Calibri" w:cs="Calibri"/>
                <w:color w:val="000000"/>
                <w:sz w:val="22"/>
                <w:szCs w:val="22"/>
              </w:rPr>
            </w:pPr>
          </w:p>
        </w:tc>
        <w:tc>
          <w:tcPr>
            <w:tcW w:w="1864" w:type="dxa"/>
            <w:tcBorders>
              <w:top w:val="nil"/>
              <w:left w:val="nil"/>
              <w:bottom w:val="nil"/>
              <w:right w:val="nil"/>
            </w:tcBorders>
            <w:noWrap/>
            <w:vAlign w:val="bottom"/>
          </w:tcPr>
          <w:p w14:paraId="6A61DE03">
            <w:pPr>
              <w:rPr>
                <w:rFonts w:ascii="Arial" w:hAnsi="Arial" w:cs="Arial"/>
                <w:color w:val="000000"/>
                <w:sz w:val="20"/>
                <w:szCs w:val="20"/>
              </w:rPr>
            </w:pPr>
          </w:p>
        </w:tc>
        <w:tc>
          <w:tcPr>
            <w:tcW w:w="1032" w:type="dxa"/>
            <w:tcBorders>
              <w:top w:val="nil"/>
              <w:left w:val="nil"/>
              <w:bottom w:val="nil"/>
              <w:right w:val="nil"/>
            </w:tcBorders>
            <w:noWrap/>
            <w:vAlign w:val="bottom"/>
          </w:tcPr>
          <w:p w14:paraId="3555D641">
            <w:pPr>
              <w:rPr>
                <w:rFonts w:ascii="Calibri" w:hAnsi="Calibri" w:cs="Calibri"/>
                <w:color w:val="000000"/>
                <w:sz w:val="22"/>
                <w:szCs w:val="22"/>
              </w:rPr>
            </w:pPr>
          </w:p>
        </w:tc>
        <w:tc>
          <w:tcPr>
            <w:tcW w:w="918" w:type="dxa"/>
            <w:tcBorders>
              <w:top w:val="nil"/>
              <w:left w:val="nil"/>
              <w:bottom w:val="nil"/>
              <w:right w:val="nil"/>
            </w:tcBorders>
            <w:noWrap/>
            <w:vAlign w:val="bottom"/>
          </w:tcPr>
          <w:p w14:paraId="16E41EC3">
            <w:pPr>
              <w:rPr>
                <w:rFonts w:ascii="Arial" w:hAnsi="Arial" w:cs="Arial"/>
                <w:color w:val="000000"/>
                <w:sz w:val="20"/>
                <w:szCs w:val="20"/>
              </w:rPr>
            </w:pPr>
          </w:p>
        </w:tc>
        <w:tc>
          <w:tcPr>
            <w:tcW w:w="642" w:type="dxa"/>
            <w:tcBorders>
              <w:top w:val="nil"/>
              <w:left w:val="nil"/>
              <w:bottom w:val="nil"/>
              <w:right w:val="nil"/>
            </w:tcBorders>
            <w:noWrap/>
            <w:vAlign w:val="bottom"/>
          </w:tcPr>
          <w:p w14:paraId="4982A8C1">
            <w:pPr>
              <w:rPr>
                <w:rFonts w:ascii="Arial" w:hAnsi="Arial" w:cs="Arial"/>
                <w:color w:val="000000"/>
                <w:sz w:val="20"/>
                <w:szCs w:val="20"/>
              </w:rPr>
            </w:pPr>
          </w:p>
        </w:tc>
        <w:tc>
          <w:tcPr>
            <w:tcW w:w="741" w:type="dxa"/>
            <w:tcBorders>
              <w:top w:val="nil"/>
              <w:left w:val="nil"/>
              <w:bottom w:val="nil"/>
              <w:right w:val="nil"/>
            </w:tcBorders>
            <w:noWrap/>
            <w:vAlign w:val="bottom"/>
          </w:tcPr>
          <w:p w14:paraId="2D29AE89">
            <w:pPr>
              <w:rPr>
                <w:rFonts w:ascii="Calibri" w:hAnsi="Calibri" w:cs="Calibri"/>
                <w:color w:val="000000"/>
                <w:sz w:val="22"/>
                <w:szCs w:val="22"/>
              </w:rPr>
            </w:pPr>
          </w:p>
        </w:tc>
      </w:tr>
      <w:tr w14:paraId="095D76E5">
        <w:tblPrEx>
          <w:tblCellMar>
            <w:top w:w="0" w:type="dxa"/>
            <w:left w:w="108" w:type="dxa"/>
            <w:bottom w:w="0" w:type="dxa"/>
            <w:right w:w="108" w:type="dxa"/>
          </w:tblCellMar>
        </w:tblPrEx>
        <w:trPr>
          <w:trHeight w:val="90" w:hRule="atLeast"/>
        </w:trPr>
        <w:tc>
          <w:tcPr>
            <w:tcW w:w="2573" w:type="dxa"/>
            <w:tcBorders>
              <w:top w:val="nil"/>
              <w:left w:val="nil"/>
              <w:bottom w:val="nil"/>
              <w:right w:val="nil"/>
            </w:tcBorders>
            <w:noWrap/>
            <w:vAlign w:val="bottom"/>
          </w:tcPr>
          <w:p w14:paraId="55A74095">
            <w:pPr>
              <w:rPr>
                <w:rFonts w:ascii="Arial" w:hAnsi="Arial" w:cs="Arial"/>
                <w:color w:val="000000"/>
                <w:sz w:val="20"/>
                <w:szCs w:val="20"/>
              </w:rPr>
            </w:pPr>
          </w:p>
        </w:tc>
        <w:tc>
          <w:tcPr>
            <w:tcW w:w="888" w:type="dxa"/>
            <w:tcBorders>
              <w:top w:val="nil"/>
              <w:left w:val="nil"/>
              <w:bottom w:val="nil"/>
              <w:right w:val="nil"/>
            </w:tcBorders>
            <w:noWrap/>
            <w:vAlign w:val="bottom"/>
          </w:tcPr>
          <w:p w14:paraId="242403A8">
            <w:pPr>
              <w:rPr>
                <w:rFonts w:ascii="Calibri" w:hAnsi="Calibri" w:cs="Calibri"/>
                <w:color w:val="000000"/>
                <w:sz w:val="22"/>
                <w:szCs w:val="22"/>
              </w:rPr>
            </w:pPr>
          </w:p>
        </w:tc>
        <w:tc>
          <w:tcPr>
            <w:tcW w:w="1864" w:type="dxa"/>
            <w:tcBorders>
              <w:top w:val="nil"/>
              <w:left w:val="nil"/>
              <w:bottom w:val="nil"/>
              <w:right w:val="nil"/>
            </w:tcBorders>
            <w:noWrap/>
            <w:vAlign w:val="bottom"/>
          </w:tcPr>
          <w:p w14:paraId="237D2681">
            <w:pPr>
              <w:rPr>
                <w:rFonts w:ascii="Arial" w:hAnsi="Arial" w:cs="Arial"/>
                <w:color w:val="000000"/>
                <w:sz w:val="20"/>
                <w:szCs w:val="20"/>
              </w:rPr>
            </w:pPr>
          </w:p>
        </w:tc>
        <w:tc>
          <w:tcPr>
            <w:tcW w:w="1032" w:type="dxa"/>
            <w:tcBorders>
              <w:top w:val="nil"/>
              <w:left w:val="nil"/>
              <w:bottom w:val="nil"/>
              <w:right w:val="nil"/>
            </w:tcBorders>
            <w:noWrap/>
            <w:vAlign w:val="bottom"/>
          </w:tcPr>
          <w:p w14:paraId="00A5E0D3">
            <w:pPr>
              <w:rPr>
                <w:rFonts w:ascii="Calibri" w:hAnsi="Calibri" w:cs="Calibri"/>
                <w:color w:val="000000"/>
                <w:sz w:val="22"/>
                <w:szCs w:val="22"/>
              </w:rPr>
            </w:pPr>
          </w:p>
        </w:tc>
        <w:tc>
          <w:tcPr>
            <w:tcW w:w="918" w:type="dxa"/>
            <w:tcBorders>
              <w:top w:val="nil"/>
              <w:left w:val="nil"/>
              <w:bottom w:val="nil"/>
              <w:right w:val="nil"/>
            </w:tcBorders>
            <w:noWrap/>
            <w:vAlign w:val="bottom"/>
          </w:tcPr>
          <w:p w14:paraId="1955FEB7">
            <w:pPr>
              <w:rPr>
                <w:rFonts w:ascii="Arial" w:hAnsi="Arial" w:cs="Arial"/>
                <w:color w:val="000000"/>
                <w:sz w:val="20"/>
                <w:szCs w:val="20"/>
              </w:rPr>
            </w:pPr>
          </w:p>
        </w:tc>
        <w:tc>
          <w:tcPr>
            <w:tcW w:w="642" w:type="dxa"/>
            <w:tcBorders>
              <w:top w:val="nil"/>
              <w:left w:val="nil"/>
              <w:bottom w:val="nil"/>
              <w:right w:val="nil"/>
            </w:tcBorders>
            <w:noWrap/>
            <w:vAlign w:val="bottom"/>
          </w:tcPr>
          <w:p w14:paraId="0C094139">
            <w:pPr>
              <w:rPr>
                <w:rFonts w:ascii="Arial" w:hAnsi="Arial" w:cs="Arial"/>
                <w:color w:val="000000"/>
                <w:sz w:val="20"/>
                <w:szCs w:val="20"/>
              </w:rPr>
            </w:pPr>
          </w:p>
        </w:tc>
        <w:tc>
          <w:tcPr>
            <w:tcW w:w="741" w:type="dxa"/>
            <w:tcBorders>
              <w:top w:val="nil"/>
              <w:left w:val="nil"/>
              <w:bottom w:val="nil"/>
              <w:right w:val="nil"/>
            </w:tcBorders>
            <w:noWrap/>
            <w:vAlign w:val="bottom"/>
          </w:tcPr>
          <w:p w14:paraId="10875F51">
            <w:pPr>
              <w:rPr>
                <w:rFonts w:ascii="Calibri" w:hAnsi="Calibri" w:cs="Calibri"/>
                <w:color w:val="000000"/>
                <w:sz w:val="22"/>
                <w:szCs w:val="22"/>
              </w:rPr>
            </w:pPr>
          </w:p>
        </w:tc>
      </w:tr>
      <w:tr w14:paraId="05135ECC">
        <w:tblPrEx>
          <w:tblCellMar>
            <w:top w:w="0" w:type="dxa"/>
            <w:left w:w="108" w:type="dxa"/>
            <w:bottom w:w="0" w:type="dxa"/>
            <w:right w:w="108" w:type="dxa"/>
          </w:tblCellMar>
        </w:tblPrEx>
        <w:trPr>
          <w:trHeight w:val="90" w:hRule="atLeast"/>
        </w:trPr>
        <w:tc>
          <w:tcPr>
            <w:tcW w:w="2573" w:type="dxa"/>
            <w:tcBorders>
              <w:top w:val="nil"/>
              <w:left w:val="nil"/>
              <w:bottom w:val="nil"/>
              <w:right w:val="nil"/>
            </w:tcBorders>
            <w:noWrap/>
            <w:vAlign w:val="bottom"/>
          </w:tcPr>
          <w:p w14:paraId="67231CAE">
            <w:pPr>
              <w:rPr>
                <w:rFonts w:ascii="Arial" w:hAnsi="Arial" w:cs="Arial"/>
                <w:color w:val="000000"/>
                <w:sz w:val="20"/>
                <w:szCs w:val="20"/>
              </w:rPr>
            </w:pPr>
          </w:p>
        </w:tc>
        <w:tc>
          <w:tcPr>
            <w:tcW w:w="888" w:type="dxa"/>
            <w:tcBorders>
              <w:top w:val="nil"/>
              <w:left w:val="nil"/>
              <w:bottom w:val="nil"/>
              <w:right w:val="nil"/>
            </w:tcBorders>
            <w:noWrap/>
            <w:vAlign w:val="bottom"/>
          </w:tcPr>
          <w:p w14:paraId="1C3B5E76">
            <w:pPr>
              <w:rPr>
                <w:rFonts w:ascii="Calibri" w:hAnsi="Calibri" w:cs="Calibri"/>
                <w:color w:val="000000"/>
                <w:sz w:val="22"/>
                <w:szCs w:val="22"/>
              </w:rPr>
            </w:pPr>
          </w:p>
        </w:tc>
        <w:tc>
          <w:tcPr>
            <w:tcW w:w="1864" w:type="dxa"/>
            <w:tcBorders>
              <w:top w:val="nil"/>
              <w:left w:val="nil"/>
              <w:bottom w:val="nil"/>
              <w:right w:val="nil"/>
            </w:tcBorders>
            <w:noWrap/>
            <w:vAlign w:val="bottom"/>
          </w:tcPr>
          <w:p w14:paraId="6BE5D09D">
            <w:pPr>
              <w:rPr>
                <w:rFonts w:ascii="Arial" w:hAnsi="Arial" w:cs="Arial"/>
                <w:color w:val="000000"/>
                <w:sz w:val="20"/>
                <w:szCs w:val="20"/>
              </w:rPr>
            </w:pPr>
          </w:p>
        </w:tc>
        <w:tc>
          <w:tcPr>
            <w:tcW w:w="1032" w:type="dxa"/>
            <w:tcBorders>
              <w:top w:val="nil"/>
              <w:left w:val="nil"/>
              <w:bottom w:val="nil"/>
              <w:right w:val="nil"/>
            </w:tcBorders>
            <w:noWrap/>
            <w:vAlign w:val="bottom"/>
          </w:tcPr>
          <w:p w14:paraId="4B7710B6">
            <w:pPr>
              <w:rPr>
                <w:rFonts w:ascii="Calibri" w:hAnsi="Calibri" w:cs="Calibri"/>
                <w:color w:val="000000"/>
                <w:sz w:val="22"/>
                <w:szCs w:val="22"/>
              </w:rPr>
            </w:pPr>
          </w:p>
        </w:tc>
        <w:tc>
          <w:tcPr>
            <w:tcW w:w="918" w:type="dxa"/>
            <w:tcBorders>
              <w:top w:val="nil"/>
              <w:left w:val="nil"/>
              <w:bottom w:val="nil"/>
              <w:right w:val="nil"/>
            </w:tcBorders>
            <w:noWrap/>
            <w:vAlign w:val="bottom"/>
          </w:tcPr>
          <w:p w14:paraId="3503AD29">
            <w:pPr>
              <w:rPr>
                <w:rFonts w:ascii="Arial" w:hAnsi="Arial" w:cs="Arial"/>
                <w:color w:val="000000"/>
                <w:sz w:val="20"/>
                <w:szCs w:val="20"/>
              </w:rPr>
            </w:pPr>
          </w:p>
        </w:tc>
        <w:tc>
          <w:tcPr>
            <w:tcW w:w="642" w:type="dxa"/>
            <w:tcBorders>
              <w:top w:val="nil"/>
              <w:left w:val="nil"/>
              <w:bottom w:val="nil"/>
              <w:right w:val="nil"/>
            </w:tcBorders>
            <w:noWrap/>
            <w:vAlign w:val="bottom"/>
          </w:tcPr>
          <w:p w14:paraId="51D67EF7">
            <w:pPr>
              <w:rPr>
                <w:rFonts w:ascii="Arial" w:hAnsi="Arial" w:cs="Arial"/>
                <w:color w:val="000000"/>
                <w:sz w:val="20"/>
                <w:szCs w:val="20"/>
              </w:rPr>
            </w:pPr>
          </w:p>
        </w:tc>
        <w:tc>
          <w:tcPr>
            <w:tcW w:w="741" w:type="dxa"/>
            <w:tcBorders>
              <w:top w:val="nil"/>
              <w:left w:val="nil"/>
              <w:bottom w:val="nil"/>
              <w:right w:val="nil"/>
            </w:tcBorders>
            <w:noWrap/>
            <w:vAlign w:val="bottom"/>
          </w:tcPr>
          <w:p w14:paraId="563A34D2">
            <w:pPr>
              <w:rPr>
                <w:rFonts w:ascii="Calibri" w:hAnsi="Calibri" w:cs="Calibri"/>
                <w:color w:val="000000"/>
                <w:sz w:val="22"/>
                <w:szCs w:val="22"/>
              </w:rPr>
            </w:pPr>
          </w:p>
        </w:tc>
      </w:tr>
      <w:tr w14:paraId="4B605496">
        <w:tblPrEx>
          <w:tblCellMar>
            <w:top w:w="0" w:type="dxa"/>
            <w:left w:w="108" w:type="dxa"/>
            <w:bottom w:w="0" w:type="dxa"/>
            <w:right w:w="108" w:type="dxa"/>
          </w:tblCellMar>
        </w:tblPrEx>
        <w:trPr>
          <w:trHeight w:val="90" w:hRule="atLeast"/>
        </w:trPr>
        <w:tc>
          <w:tcPr>
            <w:tcW w:w="2573" w:type="dxa"/>
            <w:tcBorders>
              <w:top w:val="nil"/>
              <w:left w:val="nil"/>
              <w:bottom w:val="nil"/>
              <w:right w:val="nil"/>
            </w:tcBorders>
            <w:noWrap/>
            <w:vAlign w:val="bottom"/>
          </w:tcPr>
          <w:p w14:paraId="5F607AEE">
            <w:pPr>
              <w:rPr>
                <w:rFonts w:ascii="Arial" w:hAnsi="Arial" w:cs="Arial"/>
                <w:color w:val="000000"/>
                <w:sz w:val="20"/>
                <w:szCs w:val="20"/>
              </w:rPr>
            </w:pPr>
          </w:p>
        </w:tc>
        <w:tc>
          <w:tcPr>
            <w:tcW w:w="888" w:type="dxa"/>
            <w:tcBorders>
              <w:top w:val="nil"/>
              <w:left w:val="nil"/>
              <w:bottom w:val="nil"/>
              <w:right w:val="nil"/>
            </w:tcBorders>
            <w:noWrap/>
            <w:vAlign w:val="bottom"/>
          </w:tcPr>
          <w:p w14:paraId="35ADAEF5">
            <w:pPr>
              <w:rPr>
                <w:rFonts w:ascii="Calibri" w:hAnsi="Calibri" w:cs="Calibri"/>
                <w:color w:val="000000"/>
                <w:sz w:val="22"/>
                <w:szCs w:val="22"/>
              </w:rPr>
            </w:pPr>
          </w:p>
        </w:tc>
        <w:tc>
          <w:tcPr>
            <w:tcW w:w="1864" w:type="dxa"/>
            <w:tcBorders>
              <w:top w:val="nil"/>
              <w:left w:val="nil"/>
              <w:bottom w:val="nil"/>
              <w:right w:val="nil"/>
            </w:tcBorders>
            <w:noWrap/>
            <w:vAlign w:val="bottom"/>
          </w:tcPr>
          <w:p w14:paraId="27BE45B3">
            <w:pPr>
              <w:rPr>
                <w:rFonts w:ascii="Arial" w:hAnsi="Arial" w:cs="Arial"/>
                <w:color w:val="000000"/>
                <w:sz w:val="20"/>
                <w:szCs w:val="20"/>
              </w:rPr>
            </w:pPr>
          </w:p>
        </w:tc>
        <w:tc>
          <w:tcPr>
            <w:tcW w:w="1032" w:type="dxa"/>
            <w:tcBorders>
              <w:top w:val="nil"/>
              <w:left w:val="nil"/>
              <w:bottom w:val="nil"/>
              <w:right w:val="nil"/>
            </w:tcBorders>
            <w:noWrap/>
            <w:vAlign w:val="bottom"/>
          </w:tcPr>
          <w:p w14:paraId="22E08CFC">
            <w:pPr>
              <w:rPr>
                <w:rFonts w:ascii="Calibri" w:hAnsi="Calibri" w:cs="Calibri"/>
                <w:color w:val="000000"/>
                <w:sz w:val="22"/>
                <w:szCs w:val="22"/>
              </w:rPr>
            </w:pPr>
          </w:p>
        </w:tc>
        <w:tc>
          <w:tcPr>
            <w:tcW w:w="918" w:type="dxa"/>
            <w:tcBorders>
              <w:top w:val="nil"/>
              <w:left w:val="nil"/>
              <w:bottom w:val="nil"/>
              <w:right w:val="nil"/>
            </w:tcBorders>
            <w:noWrap/>
            <w:vAlign w:val="bottom"/>
          </w:tcPr>
          <w:p w14:paraId="74DD5B9B">
            <w:pPr>
              <w:rPr>
                <w:rFonts w:ascii="Arial" w:hAnsi="Arial" w:cs="Arial"/>
                <w:color w:val="000000"/>
                <w:sz w:val="20"/>
                <w:szCs w:val="20"/>
              </w:rPr>
            </w:pPr>
          </w:p>
        </w:tc>
        <w:tc>
          <w:tcPr>
            <w:tcW w:w="642" w:type="dxa"/>
            <w:tcBorders>
              <w:top w:val="nil"/>
              <w:left w:val="nil"/>
              <w:bottom w:val="nil"/>
              <w:right w:val="nil"/>
            </w:tcBorders>
            <w:noWrap/>
            <w:vAlign w:val="bottom"/>
          </w:tcPr>
          <w:p w14:paraId="565784EC">
            <w:pPr>
              <w:rPr>
                <w:rFonts w:ascii="Arial" w:hAnsi="Arial" w:cs="Arial"/>
                <w:color w:val="000000"/>
                <w:sz w:val="20"/>
                <w:szCs w:val="20"/>
              </w:rPr>
            </w:pPr>
          </w:p>
        </w:tc>
        <w:tc>
          <w:tcPr>
            <w:tcW w:w="741" w:type="dxa"/>
            <w:tcBorders>
              <w:top w:val="nil"/>
              <w:left w:val="nil"/>
              <w:bottom w:val="nil"/>
              <w:right w:val="nil"/>
            </w:tcBorders>
            <w:noWrap/>
            <w:vAlign w:val="bottom"/>
          </w:tcPr>
          <w:p w14:paraId="67F592B3">
            <w:pPr>
              <w:rPr>
                <w:rFonts w:ascii="Calibri" w:hAnsi="Calibri" w:cs="Calibri"/>
                <w:color w:val="000000"/>
                <w:sz w:val="22"/>
                <w:szCs w:val="22"/>
              </w:rPr>
            </w:pPr>
          </w:p>
        </w:tc>
      </w:tr>
      <w:tr w14:paraId="323C9F6D">
        <w:tblPrEx>
          <w:tblCellMar>
            <w:top w:w="0" w:type="dxa"/>
            <w:left w:w="108" w:type="dxa"/>
            <w:bottom w:w="0" w:type="dxa"/>
            <w:right w:w="108" w:type="dxa"/>
          </w:tblCellMar>
        </w:tblPrEx>
        <w:trPr>
          <w:trHeight w:val="90" w:hRule="atLeast"/>
        </w:trPr>
        <w:tc>
          <w:tcPr>
            <w:tcW w:w="2573" w:type="dxa"/>
            <w:tcBorders>
              <w:top w:val="nil"/>
              <w:left w:val="nil"/>
              <w:bottom w:val="nil"/>
              <w:right w:val="nil"/>
            </w:tcBorders>
            <w:noWrap/>
            <w:vAlign w:val="bottom"/>
          </w:tcPr>
          <w:p w14:paraId="03E78715">
            <w:pPr>
              <w:rPr>
                <w:rFonts w:ascii="Arial" w:hAnsi="Arial" w:cs="Arial"/>
                <w:color w:val="000000"/>
                <w:sz w:val="20"/>
                <w:szCs w:val="20"/>
              </w:rPr>
            </w:pPr>
          </w:p>
        </w:tc>
        <w:tc>
          <w:tcPr>
            <w:tcW w:w="888" w:type="dxa"/>
            <w:tcBorders>
              <w:top w:val="nil"/>
              <w:left w:val="nil"/>
              <w:bottom w:val="nil"/>
              <w:right w:val="nil"/>
            </w:tcBorders>
            <w:noWrap/>
            <w:vAlign w:val="bottom"/>
          </w:tcPr>
          <w:p w14:paraId="5EF1642F">
            <w:pPr>
              <w:rPr>
                <w:rFonts w:ascii="Calibri" w:hAnsi="Calibri" w:cs="Calibri"/>
                <w:color w:val="000000"/>
                <w:sz w:val="22"/>
                <w:szCs w:val="22"/>
              </w:rPr>
            </w:pPr>
          </w:p>
        </w:tc>
        <w:tc>
          <w:tcPr>
            <w:tcW w:w="1864" w:type="dxa"/>
            <w:tcBorders>
              <w:top w:val="nil"/>
              <w:left w:val="nil"/>
              <w:bottom w:val="nil"/>
              <w:right w:val="nil"/>
            </w:tcBorders>
            <w:noWrap/>
            <w:vAlign w:val="bottom"/>
          </w:tcPr>
          <w:p w14:paraId="4C079739">
            <w:pPr>
              <w:rPr>
                <w:rFonts w:ascii="Arial" w:hAnsi="Arial" w:cs="Arial"/>
                <w:color w:val="000000"/>
                <w:sz w:val="20"/>
                <w:szCs w:val="20"/>
              </w:rPr>
            </w:pPr>
          </w:p>
        </w:tc>
        <w:tc>
          <w:tcPr>
            <w:tcW w:w="1032" w:type="dxa"/>
            <w:tcBorders>
              <w:top w:val="nil"/>
              <w:left w:val="nil"/>
              <w:bottom w:val="nil"/>
              <w:right w:val="nil"/>
            </w:tcBorders>
            <w:noWrap/>
            <w:vAlign w:val="bottom"/>
          </w:tcPr>
          <w:p w14:paraId="4B922D37">
            <w:pPr>
              <w:rPr>
                <w:rFonts w:ascii="Calibri" w:hAnsi="Calibri" w:cs="Calibri"/>
                <w:color w:val="000000"/>
                <w:sz w:val="22"/>
                <w:szCs w:val="22"/>
              </w:rPr>
            </w:pPr>
          </w:p>
        </w:tc>
        <w:tc>
          <w:tcPr>
            <w:tcW w:w="918" w:type="dxa"/>
            <w:tcBorders>
              <w:top w:val="nil"/>
              <w:left w:val="nil"/>
              <w:bottom w:val="nil"/>
              <w:right w:val="nil"/>
            </w:tcBorders>
            <w:noWrap/>
            <w:vAlign w:val="bottom"/>
          </w:tcPr>
          <w:p w14:paraId="35070F2B">
            <w:pPr>
              <w:rPr>
                <w:rFonts w:ascii="Arial" w:hAnsi="Arial" w:cs="Arial"/>
                <w:color w:val="000000"/>
                <w:sz w:val="20"/>
                <w:szCs w:val="20"/>
              </w:rPr>
            </w:pPr>
          </w:p>
        </w:tc>
        <w:tc>
          <w:tcPr>
            <w:tcW w:w="642" w:type="dxa"/>
            <w:tcBorders>
              <w:top w:val="nil"/>
              <w:left w:val="nil"/>
              <w:bottom w:val="nil"/>
              <w:right w:val="nil"/>
            </w:tcBorders>
            <w:noWrap/>
            <w:vAlign w:val="bottom"/>
          </w:tcPr>
          <w:p w14:paraId="1D50A263">
            <w:pPr>
              <w:rPr>
                <w:rFonts w:ascii="Arial" w:hAnsi="Arial" w:cs="Arial"/>
                <w:color w:val="000000"/>
                <w:sz w:val="20"/>
                <w:szCs w:val="20"/>
              </w:rPr>
            </w:pPr>
          </w:p>
        </w:tc>
        <w:tc>
          <w:tcPr>
            <w:tcW w:w="741" w:type="dxa"/>
            <w:tcBorders>
              <w:top w:val="nil"/>
              <w:left w:val="nil"/>
              <w:bottom w:val="nil"/>
              <w:right w:val="nil"/>
            </w:tcBorders>
            <w:noWrap/>
            <w:vAlign w:val="bottom"/>
          </w:tcPr>
          <w:p w14:paraId="6627EE84">
            <w:pPr>
              <w:rPr>
                <w:rFonts w:ascii="Calibri" w:hAnsi="Calibri" w:cs="Calibri"/>
                <w:color w:val="000000"/>
                <w:sz w:val="22"/>
                <w:szCs w:val="22"/>
              </w:rPr>
            </w:pPr>
          </w:p>
        </w:tc>
      </w:tr>
      <w:tr w14:paraId="7CFE4708">
        <w:tblPrEx>
          <w:tblCellMar>
            <w:top w:w="0" w:type="dxa"/>
            <w:left w:w="108" w:type="dxa"/>
            <w:bottom w:w="0" w:type="dxa"/>
            <w:right w:w="108" w:type="dxa"/>
          </w:tblCellMar>
        </w:tblPrEx>
        <w:trPr>
          <w:trHeight w:val="90" w:hRule="atLeast"/>
        </w:trPr>
        <w:tc>
          <w:tcPr>
            <w:tcW w:w="2573" w:type="dxa"/>
            <w:tcBorders>
              <w:top w:val="nil"/>
              <w:left w:val="nil"/>
              <w:bottom w:val="nil"/>
              <w:right w:val="nil"/>
            </w:tcBorders>
            <w:noWrap/>
            <w:vAlign w:val="bottom"/>
          </w:tcPr>
          <w:p w14:paraId="0B3D8039">
            <w:pPr>
              <w:rPr>
                <w:rFonts w:ascii="Arial" w:hAnsi="Arial" w:cs="Arial"/>
                <w:color w:val="000000"/>
                <w:sz w:val="20"/>
                <w:szCs w:val="20"/>
              </w:rPr>
            </w:pPr>
          </w:p>
        </w:tc>
        <w:tc>
          <w:tcPr>
            <w:tcW w:w="888" w:type="dxa"/>
            <w:tcBorders>
              <w:top w:val="nil"/>
              <w:left w:val="nil"/>
              <w:bottom w:val="nil"/>
              <w:right w:val="nil"/>
            </w:tcBorders>
            <w:noWrap/>
            <w:vAlign w:val="bottom"/>
          </w:tcPr>
          <w:p w14:paraId="3EED60B7">
            <w:pPr>
              <w:rPr>
                <w:rFonts w:ascii="Calibri" w:hAnsi="Calibri" w:cs="Calibri"/>
                <w:color w:val="000000"/>
                <w:sz w:val="22"/>
                <w:szCs w:val="22"/>
              </w:rPr>
            </w:pPr>
          </w:p>
        </w:tc>
        <w:tc>
          <w:tcPr>
            <w:tcW w:w="1864" w:type="dxa"/>
            <w:tcBorders>
              <w:top w:val="nil"/>
              <w:left w:val="nil"/>
              <w:bottom w:val="nil"/>
              <w:right w:val="nil"/>
            </w:tcBorders>
            <w:noWrap/>
            <w:vAlign w:val="bottom"/>
          </w:tcPr>
          <w:p w14:paraId="45173722">
            <w:pPr>
              <w:rPr>
                <w:rFonts w:ascii="Arial" w:hAnsi="Arial" w:cs="Arial"/>
                <w:color w:val="000000"/>
                <w:sz w:val="20"/>
                <w:szCs w:val="20"/>
              </w:rPr>
            </w:pPr>
          </w:p>
        </w:tc>
        <w:tc>
          <w:tcPr>
            <w:tcW w:w="1032" w:type="dxa"/>
            <w:tcBorders>
              <w:top w:val="nil"/>
              <w:left w:val="nil"/>
              <w:bottom w:val="nil"/>
              <w:right w:val="nil"/>
            </w:tcBorders>
            <w:noWrap/>
            <w:vAlign w:val="bottom"/>
          </w:tcPr>
          <w:p w14:paraId="426C29B8">
            <w:pPr>
              <w:rPr>
                <w:rFonts w:ascii="Calibri" w:hAnsi="Calibri" w:cs="Calibri"/>
                <w:color w:val="000000"/>
                <w:sz w:val="22"/>
                <w:szCs w:val="22"/>
              </w:rPr>
            </w:pPr>
          </w:p>
        </w:tc>
        <w:tc>
          <w:tcPr>
            <w:tcW w:w="918" w:type="dxa"/>
            <w:tcBorders>
              <w:top w:val="nil"/>
              <w:left w:val="nil"/>
              <w:bottom w:val="nil"/>
              <w:right w:val="nil"/>
            </w:tcBorders>
            <w:noWrap/>
            <w:vAlign w:val="bottom"/>
          </w:tcPr>
          <w:p w14:paraId="64259297">
            <w:pPr>
              <w:rPr>
                <w:rFonts w:ascii="Arial" w:hAnsi="Arial" w:cs="Arial"/>
                <w:color w:val="000000"/>
                <w:sz w:val="20"/>
                <w:szCs w:val="20"/>
              </w:rPr>
            </w:pPr>
          </w:p>
        </w:tc>
        <w:tc>
          <w:tcPr>
            <w:tcW w:w="642" w:type="dxa"/>
            <w:tcBorders>
              <w:top w:val="nil"/>
              <w:left w:val="nil"/>
              <w:bottom w:val="nil"/>
              <w:right w:val="nil"/>
            </w:tcBorders>
            <w:noWrap/>
            <w:vAlign w:val="bottom"/>
          </w:tcPr>
          <w:p w14:paraId="1B633083">
            <w:pPr>
              <w:rPr>
                <w:rFonts w:ascii="Arial" w:hAnsi="Arial" w:cs="Arial"/>
                <w:color w:val="000000"/>
                <w:sz w:val="20"/>
                <w:szCs w:val="20"/>
              </w:rPr>
            </w:pPr>
          </w:p>
        </w:tc>
        <w:tc>
          <w:tcPr>
            <w:tcW w:w="741" w:type="dxa"/>
            <w:tcBorders>
              <w:top w:val="nil"/>
              <w:left w:val="nil"/>
              <w:bottom w:val="nil"/>
              <w:right w:val="nil"/>
            </w:tcBorders>
            <w:noWrap/>
            <w:vAlign w:val="bottom"/>
          </w:tcPr>
          <w:p w14:paraId="13FCDF07">
            <w:pPr>
              <w:rPr>
                <w:rFonts w:ascii="Calibri" w:hAnsi="Calibri" w:cs="Calibri"/>
                <w:color w:val="000000"/>
                <w:sz w:val="22"/>
                <w:szCs w:val="22"/>
              </w:rPr>
            </w:pPr>
          </w:p>
        </w:tc>
      </w:tr>
      <w:tr w14:paraId="37E8020F">
        <w:tblPrEx>
          <w:tblCellMar>
            <w:top w:w="0" w:type="dxa"/>
            <w:left w:w="108" w:type="dxa"/>
            <w:bottom w:w="0" w:type="dxa"/>
            <w:right w:w="108" w:type="dxa"/>
          </w:tblCellMar>
        </w:tblPrEx>
        <w:trPr>
          <w:trHeight w:val="90" w:hRule="atLeast"/>
        </w:trPr>
        <w:tc>
          <w:tcPr>
            <w:tcW w:w="2573" w:type="dxa"/>
            <w:tcBorders>
              <w:top w:val="nil"/>
              <w:left w:val="nil"/>
              <w:bottom w:val="nil"/>
              <w:right w:val="nil"/>
            </w:tcBorders>
            <w:noWrap/>
            <w:vAlign w:val="bottom"/>
          </w:tcPr>
          <w:p w14:paraId="56CB796B">
            <w:pPr>
              <w:rPr>
                <w:rFonts w:ascii="Arial" w:hAnsi="Arial" w:cs="Arial"/>
                <w:color w:val="000000"/>
                <w:sz w:val="20"/>
                <w:szCs w:val="20"/>
              </w:rPr>
            </w:pPr>
          </w:p>
        </w:tc>
        <w:tc>
          <w:tcPr>
            <w:tcW w:w="888" w:type="dxa"/>
            <w:tcBorders>
              <w:top w:val="nil"/>
              <w:left w:val="nil"/>
              <w:bottom w:val="nil"/>
              <w:right w:val="nil"/>
            </w:tcBorders>
            <w:noWrap/>
            <w:vAlign w:val="bottom"/>
          </w:tcPr>
          <w:p w14:paraId="65137184">
            <w:pPr>
              <w:rPr>
                <w:rFonts w:ascii="Calibri" w:hAnsi="Calibri" w:cs="Calibri"/>
                <w:color w:val="000000"/>
                <w:sz w:val="22"/>
                <w:szCs w:val="22"/>
              </w:rPr>
            </w:pPr>
          </w:p>
        </w:tc>
        <w:tc>
          <w:tcPr>
            <w:tcW w:w="1864" w:type="dxa"/>
            <w:tcBorders>
              <w:top w:val="nil"/>
              <w:left w:val="nil"/>
              <w:bottom w:val="nil"/>
              <w:right w:val="nil"/>
            </w:tcBorders>
            <w:noWrap/>
            <w:vAlign w:val="bottom"/>
          </w:tcPr>
          <w:p w14:paraId="3560AFED">
            <w:pPr>
              <w:rPr>
                <w:rFonts w:ascii="Arial" w:hAnsi="Arial" w:cs="Arial"/>
                <w:color w:val="000000"/>
                <w:sz w:val="20"/>
                <w:szCs w:val="20"/>
              </w:rPr>
            </w:pPr>
          </w:p>
        </w:tc>
        <w:tc>
          <w:tcPr>
            <w:tcW w:w="1032" w:type="dxa"/>
            <w:tcBorders>
              <w:top w:val="nil"/>
              <w:left w:val="nil"/>
              <w:bottom w:val="nil"/>
              <w:right w:val="nil"/>
            </w:tcBorders>
            <w:noWrap/>
            <w:vAlign w:val="bottom"/>
          </w:tcPr>
          <w:p w14:paraId="60B1ADB0">
            <w:pPr>
              <w:rPr>
                <w:rFonts w:ascii="Calibri" w:hAnsi="Calibri" w:cs="Calibri"/>
                <w:color w:val="000000"/>
                <w:sz w:val="22"/>
                <w:szCs w:val="22"/>
              </w:rPr>
            </w:pPr>
          </w:p>
        </w:tc>
        <w:tc>
          <w:tcPr>
            <w:tcW w:w="918" w:type="dxa"/>
            <w:tcBorders>
              <w:top w:val="nil"/>
              <w:left w:val="nil"/>
              <w:bottom w:val="nil"/>
              <w:right w:val="nil"/>
            </w:tcBorders>
            <w:noWrap/>
            <w:vAlign w:val="bottom"/>
          </w:tcPr>
          <w:p w14:paraId="6D5BA59C">
            <w:pPr>
              <w:rPr>
                <w:rFonts w:ascii="Arial" w:hAnsi="Arial" w:cs="Arial"/>
                <w:color w:val="000000"/>
                <w:sz w:val="20"/>
                <w:szCs w:val="20"/>
              </w:rPr>
            </w:pPr>
          </w:p>
        </w:tc>
        <w:tc>
          <w:tcPr>
            <w:tcW w:w="642" w:type="dxa"/>
            <w:tcBorders>
              <w:top w:val="nil"/>
              <w:left w:val="nil"/>
              <w:bottom w:val="nil"/>
              <w:right w:val="nil"/>
            </w:tcBorders>
            <w:noWrap/>
            <w:vAlign w:val="bottom"/>
          </w:tcPr>
          <w:p w14:paraId="62085BA6">
            <w:pPr>
              <w:rPr>
                <w:rFonts w:ascii="Arial" w:hAnsi="Arial" w:cs="Arial"/>
                <w:color w:val="000000"/>
                <w:sz w:val="20"/>
                <w:szCs w:val="20"/>
              </w:rPr>
            </w:pPr>
          </w:p>
        </w:tc>
        <w:tc>
          <w:tcPr>
            <w:tcW w:w="741" w:type="dxa"/>
            <w:tcBorders>
              <w:top w:val="nil"/>
              <w:left w:val="nil"/>
              <w:bottom w:val="nil"/>
              <w:right w:val="nil"/>
            </w:tcBorders>
            <w:noWrap/>
            <w:vAlign w:val="bottom"/>
          </w:tcPr>
          <w:p w14:paraId="1BB5104D">
            <w:pPr>
              <w:rPr>
                <w:rFonts w:ascii="Calibri" w:hAnsi="Calibri" w:cs="Calibri"/>
                <w:color w:val="000000"/>
                <w:sz w:val="22"/>
                <w:szCs w:val="22"/>
              </w:rPr>
            </w:pPr>
          </w:p>
        </w:tc>
      </w:tr>
    </w:tbl>
    <w:p w14:paraId="2A0AE2F6">
      <w:pPr>
        <w:pStyle w:val="9"/>
        <w:adjustRightInd w:val="0"/>
        <w:snapToGrid w:val="0"/>
        <w:spacing w:before="0" w:beforeAutospacing="0" w:after="0" w:afterAutospacing="0" w:line="360" w:lineRule="auto"/>
        <w:jc w:val="center"/>
        <w:rPr>
          <w:rFonts w:ascii="Times New Roman" w:hAnsi="Times New Roman" w:eastAsia="黑体" w:cs="Times New Roman"/>
          <w:bCs/>
          <w:sz w:val="36"/>
          <w:szCs w:val="36"/>
        </w:rPr>
      </w:pPr>
    </w:p>
    <w:p w14:paraId="36DB2C30">
      <w:pPr>
        <w:pStyle w:val="9"/>
        <w:adjustRightInd w:val="0"/>
        <w:snapToGrid w:val="0"/>
        <w:spacing w:before="0" w:beforeAutospacing="0" w:after="0" w:afterAutospacing="0" w:line="360" w:lineRule="auto"/>
        <w:jc w:val="both"/>
        <w:rPr>
          <w:rFonts w:ascii="Times New Roman" w:hAnsi="Times New Roman" w:eastAsia="黑体" w:cs="Times New Roman"/>
          <w:bCs/>
          <w:sz w:val="36"/>
          <w:szCs w:val="36"/>
        </w:rPr>
      </w:pPr>
    </w:p>
    <w:tbl>
      <w:tblPr>
        <w:tblStyle w:val="10"/>
        <w:tblW w:w="8814" w:type="dxa"/>
        <w:tblInd w:w="93" w:type="dxa"/>
        <w:tblLayout w:type="fixed"/>
        <w:tblCellMar>
          <w:top w:w="0" w:type="dxa"/>
          <w:left w:w="108" w:type="dxa"/>
          <w:bottom w:w="0" w:type="dxa"/>
          <w:right w:w="108" w:type="dxa"/>
        </w:tblCellMar>
      </w:tblPr>
      <w:tblGrid>
        <w:gridCol w:w="1146"/>
        <w:gridCol w:w="2522"/>
        <w:gridCol w:w="1136"/>
        <w:gridCol w:w="1157"/>
        <w:gridCol w:w="922"/>
        <w:gridCol w:w="1007"/>
        <w:gridCol w:w="924"/>
      </w:tblGrid>
      <w:tr w14:paraId="5F9B13C4">
        <w:tblPrEx>
          <w:tblCellMar>
            <w:top w:w="0" w:type="dxa"/>
            <w:left w:w="108" w:type="dxa"/>
            <w:bottom w:w="0" w:type="dxa"/>
            <w:right w:w="108" w:type="dxa"/>
          </w:tblCellMar>
        </w:tblPrEx>
        <w:trPr>
          <w:trHeight w:val="243" w:hRule="atLeast"/>
        </w:trPr>
        <w:tc>
          <w:tcPr>
            <w:tcW w:w="1146" w:type="dxa"/>
            <w:tcBorders>
              <w:top w:val="nil"/>
              <w:left w:val="nil"/>
              <w:bottom w:val="nil"/>
              <w:right w:val="nil"/>
            </w:tcBorders>
            <w:shd w:val="clear" w:color="auto" w:fill="FFFFFF"/>
            <w:noWrap/>
            <w:vAlign w:val="center"/>
          </w:tcPr>
          <w:p w14:paraId="1AA4A99D">
            <w:pPr>
              <w:rPr>
                <w:rFonts w:ascii="Calibri" w:hAnsi="Calibri" w:cs="Calibri"/>
                <w:color w:val="000000"/>
                <w:sz w:val="22"/>
                <w:szCs w:val="22"/>
              </w:rPr>
            </w:pPr>
          </w:p>
        </w:tc>
        <w:tc>
          <w:tcPr>
            <w:tcW w:w="2522" w:type="dxa"/>
            <w:tcBorders>
              <w:top w:val="nil"/>
              <w:left w:val="nil"/>
              <w:bottom w:val="nil"/>
              <w:right w:val="nil"/>
            </w:tcBorders>
            <w:noWrap/>
            <w:vAlign w:val="bottom"/>
          </w:tcPr>
          <w:p w14:paraId="3A196641">
            <w:pPr>
              <w:rPr>
                <w:rFonts w:ascii="Arial" w:hAnsi="Arial" w:cs="Arial"/>
                <w:color w:val="000000"/>
                <w:sz w:val="20"/>
                <w:szCs w:val="20"/>
              </w:rPr>
            </w:pPr>
          </w:p>
        </w:tc>
        <w:tc>
          <w:tcPr>
            <w:tcW w:w="1136" w:type="dxa"/>
            <w:tcBorders>
              <w:top w:val="nil"/>
              <w:left w:val="nil"/>
              <w:bottom w:val="nil"/>
              <w:right w:val="nil"/>
            </w:tcBorders>
            <w:noWrap/>
            <w:vAlign w:val="bottom"/>
          </w:tcPr>
          <w:p w14:paraId="4F023976">
            <w:pPr>
              <w:rPr>
                <w:rFonts w:ascii="Arial" w:hAnsi="Arial" w:cs="Arial"/>
                <w:color w:val="000000"/>
                <w:sz w:val="20"/>
                <w:szCs w:val="20"/>
              </w:rPr>
            </w:pPr>
          </w:p>
        </w:tc>
        <w:tc>
          <w:tcPr>
            <w:tcW w:w="1157" w:type="dxa"/>
            <w:tcBorders>
              <w:top w:val="nil"/>
              <w:left w:val="nil"/>
              <w:bottom w:val="nil"/>
              <w:right w:val="nil"/>
            </w:tcBorders>
            <w:noWrap/>
            <w:vAlign w:val="bottom"/>
          </w:tcPr>
          <w:p w14:paraId="5F1FD71C">
            <w:pPr>
              <w:rPr>
                <w:rFonts w:ascii="Arial" w:hAnsi="Arial" w:cs="Arial"/>
                <w:color w:val="000000"/>
                <w:sz w:val="20"/>
                <w:szCs w:val="20"/>
              </w:rPr>
            </w:pPr>
          </w:p>
        </w:tc>
        <w:tc>
          <w:tcPr>
            <w:tcW w:w="2853" w:type="dxa"/>
            <w:gridSpan w:val="3"/>
            <w:tcBorders>
              <w:top w:val="nil"/>
              <w:left w:val="nil"/>
              <w:bottom w:val="nil"/>
              <w:right w:val="nil"/>
            </w:tcBorders>
            <w:noWrap/>
            <w:vAlign w:val="bottom"/>
          </w:tcPr>
          <w:p w14:paraId="317B4D27">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部门（单位）公开表5</w:t>
            </w:r>
          </w:p>
        </w:tc>
      </w:tr>
      <w:tr w14:paraId="62B698D3">
        <w:tblPrEx>
          <w:tblCellMar>
            <w:top w:w="0" w:type="dxa"/>
            <w:left w:w="108" w:type="dxa"/>
            <w:bottom w:w="0" w:type="dxa"/>
            <w:right w:w="108" w:type="dxa"/>
          </w:tblCellMar>
        </w:tblPrEx>
        <w:trPr>
          <w:trHeight w:val="486" w:hRule="atLeast"/>
        </w:trPr>
        <w:tc>
          <w:tcPr>
            <w:tcW w:w="8814" w:type="dxa"/>
            <w:gridSpan w:val="7"/>
            <w:tcBorders>
              <w:top w:val="nil"/>
              <w:left w:val="nil"/>
              <w:bottom w:val="nil"/>
              <w:right w:val="nil"/>
            </w:tcBorders>
            <w:noWrap/>
            <w:vAlign w:val="center"/>
          </w:tcPr>
          <w:p w14:paraId="052D8214">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rPr>
              <w:t>表五、2024年一般公共预算支出表</w:t>
            </w:r>
          </w:p>
        </w:tc>
      </w:tr>
      <w:tr w14:paraId="7D775218">
        <w:tblPrEx>
          <w:tblCellMar>
            <w:top w:w="0" w:type="dxa"/>
            <w:left w:w="108" w:type="dxa"/>
            <w:bottom w:w="0" w:type="dxa"/>
            <w:right w:w="108" w:type="dxa"/>
          </w:tblCellMar>
        </w:tblPrEx>
        <w:trPr>
          <w:trHeight w:val="203" w:hRule="atLeast"/>
        </w:trPr>
        <w:tc>
          <w:tcPr>
            <w:tcW w:w="4804" w:type="dxa"/>
            <w:gridSpan w:val="3"/>
            <w:tcBorders>
              <w:top w:val="nil"/>
              <w:left w:val="nil"/>
              <w:bottom w:val="nil"/>
              <w:right w:val="nil"/>
            </w:tcBorders>
            <w:noWrap/>
            <w:vAlign w:val="center"/>
          </w:tcPr>
          <w:p w14:paraId="3042F1A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[077]黄山市经济和信息化局 </w:t>
            </w:r>
          </w:p>
        </w:tc>
        <w:tc>
          <w:tcPr>
            <w:tcW w:w="1157" w:type="dxa"/>
            <w:tcBorders>
              <w:top w:val="nil"/>
              <w:left w:val="nil"/>
              <w:bottom w:val="nil"/>
              <w:right w:val="nil"/>
            </w:tcBorders>
            <w:noWrap/>
            <w:vAlign w:val="bottom"/>
          </w:tcPr>
          <w:p w14:paraId="5BEFDEAC">
            <w:pPr>
              <w:rPr>
                <w:rFonts w:ascii="宋体" w:hAnsi="宋体" w:cs="宋体"/>
                <w:color w:val="000000"/>
                <w:sz w:val="18"/>
                <w:szCs w:val="18"/>
              </w:rPr>
            </w:pPr>
          </w:p>
        </w:tc>
        <w:tc>
          <w:tcPr>
            <w:tcW w:w="922" w:type="dxa"/>
            <w:tcBorders>
              <w:top w:val="nil"/>
              <w:left w:val="nil"/>
              <w:bottom w:val="nil"/>
              <w:right w:val="nil"/>
            </w:tcBorders>
            <w:noWrap/>
            <w:vAlign w:val="center"/>
          </w:tcPr>
          <w:p w14:paraId="205EBC5B">
            <w:pPr>
              <w:jc w:val="right"/>
              <w:rPr>
                <w:rFonts w:ascii="宋体" w:hAnsi="宋体" w:cs="宋体"/>
                <w:color w:val="000000"/>
                <w:sz w:val="18"/>
                <w:szCs w:val="18"/>
              </w:rPr>
            </w:pPr>
          </w:p>
        </w:tc>
        <w:tc>
          <w:tcPr>
            <w:tcW w:w="1931" w:type="dxa"/>
            <w:gridSpan w:val="2"/>
            <w:tcBorders>
              <w:top w:val="nil"/>
              <w:left w:val="nil"/>
              <w:bottom w:val="nil"/>
              <w:right w:val="nil"/>
            </w:tcBorders>
            <w:noWrap/>
            <w:vAlign w:val="bottom"/>
          </w:tcPr>
          <w:p w14:paraId="1563AB1D">
            <w:pPr>
              <w:widowControl/>
              <w:jc w:val="right"/>
              <w:textAlignment w:val="bottom"/>
              <w:rPr>
                <w:rFonts w:ascii="Calibri" w:hAnsi="Calibri" w:cs="Calibri"/>
                <w:color w:val="000000"/>
                <w:sz w:val="22"/>
                <w:szCs w:val="22"/>
              </w:rPr>
            </w:pPr>
            <w:r>
              <w:rPr>
                <w:rFonts w:ascii="Calibri" w:hAnsi="Calibri" w:cs="Calibri"/>
                <w:color w:val="000000"/>
                <w:kern w:val="0"/>
                <w:sz w:val="22"/>
                <w:szCs w:val="22"/>
              </w:rPr>
              <w:t>单位：万元</w:t>
            </w:r>
          </w:p>
        </w:tc>
      </w:tr>
      <w:tr w14:paraId="56F84641">
        <w:tblPrEx>
          <w:tblCellMar>
            <w:top w:w="0" w:type="dxa"/>
            <w:left w:w="108" w:type="dxa"/>
            <w:bottom w:w="0" w:type="dxa"/>
            <w:right w:w="108" w:type="dxa"/>
          </w:tblCellMar>
        </w:tblPrEx>
        <w:trPr>
          <w:trHeight w:val="396" w:hRule="atLeast"/>
        </w:trPr>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14:paraId="2412FE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2522" w:type="dxa"/>
            <w:vMerge w:val="restart"/>
            <w:tcBorders>
              <w:top w:val="single" w:color="000000" w:sz="4" w:space="0"/>
              <w:left w:val="single" w:color="000000" w:sz="4" w:space="0"/>
              <w:bottom w:val="single" w:color="000000" w:sz="4" w:space="0"/>
              <w:right w:val="single" w:color="000000" w:sz="4" w:space="0"/>
            </w:tcBorders>
            <w:noWrap/>
            <w:vAlign w:val="center"/>
          </w:tcPr>
          <w:p w14:paraId="3A3B63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136" w:type="dxa"/>
            <w:vMerge w:val="restart"/>
            <w:tcBorders>
              <w:top w:val="single" w:color="000000" w:sz="4" w:space="0"/>
              <w:left w:val="single" w:color="000000" w:sz="4" w:space="0"/>
              <w:bottom w:val="single" w:color="000000" w:sz="4" w:space="0"/>
              <w:right w:val="single" w:color="000000" w:sz="4" w:space="0"/>
            </w:tcBorders>
            <w:noWrap/>
            <w:vAlign w:val="center"/>
          </w:tcPr>
          <w:p w14:paraId="3C7931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3086" w:type="dxa"/>
            <w:gridSpan w:val="3"/>
            <w:tcBorders>
              <w:top w:val="single" w:color="000000" w:sz="4" w:space="0"/>
              <w:left w:val="single" w:color="000000" w:sz="4" w:space="0"/>
              <w:bottom w:val="single" w:color="000000" w:sz="4" w:space="0"/>
              <w:right w:val="single" w:color="000000" w:sz="4" w:space="0"/>
            </w:tcBorders>
            <w:noWrap/>
            <w:vAlign w:val="center"/>
          </w:tcPr>
          <w:p w14:paraId="3EC729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924" w:type="dxa"/>
            <w:vMerge w:val="restart"/>
            <w:tcBorders>
              <w:top w:val="single" w:color="000000" w:sz="4" w:space="0"/>
              <w:left w:val="single" w:color="000000" w:sz="4" w:space="0"/>
              <w:bottom w:val="single" w:color="000000" w:sz="4" w:space="0"/>
              <w:right w:val="single" w:color="000000" w:sz="4" w:space="0"/>
            </w:tcBorders>
            <w:noWrap/>
            <w:vAlign w:val="center"/>
          </w:tcPr>
          <w:p w14:paraId="2E593F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r>
      <w:tr w14:paraId="16BAABB4">
        <w:tblPrEx>
          <w:tblCellMar>
            <w:top w:w="0" w:type="dxa"/>
            <w:left w:w="108" w:type="dxa"/>
            <w:bottom w:w="0" w:type="dxa"/>
            <w:right w:w="108" w:type="dxa"/>
          </w:tblCellMar>
        </w:tblPrEx>
        <w:trPr>
          <w:trHeight w:val="347"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CA00">
            <w:pPr>
              <w:jc w:val="center"/>
              <w:rPr>
                <w:rFonts w:ascii="宋体" w:hAnsi="宋体" w:cs="宋体"/>
                <w:color w:val="000000"/>
                <w:sz w:val="20"/>
                <w:szCs w:val="20"/>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1909">
            <w:pPr>
              <w:jc w:val="center"/>
              <w:rPr>
                <w:rFonts w:ascii="宋体" w:hAnsi="宋体" w:cs="宋体"/>
                <w:color w:val="000000"/>
                <w:sz w:val="20"/>
                <w:szCs w:val="20"/>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6A38">
            <w:pPr>
              <w:jc w:val="center"/>
              <w:rPr>
                <w:rFonts w:ascii="宋体" w:hAnsi="宋体" w:cs="宋体"/>
                <w:color w:val="000000"/>
                <w:sz w:val="20"/>
                <w:szCs w:val="20"/>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911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9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C5C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人员经费</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5AC70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公用经费</w:t>
            </w:r>
          </w:p>
        </w:tc>
        <w:tc>
          <w:tcPr>
            <w:tcW w:w="924" w:type="dxa"/>
            <w:vMerge w:val="continue"/>
            <w:tcBorders>
              <w:top w:val="single" w:color="000000" w:sz="4" w:space="0"/>
              <w:left w:val="single" w:color="000000" w:sz="4" w:space="0"/>
              <w:bottom w:val="single" w:color="000000" w:sz="4" w:space="0"/>
              <w:right w:val="single" w:color="000000" w:sz="4" w:space="0"/>
            </w:tcBorders>
            <w:noWrap/>
            <w:vAlign w:val="center"/>
          </w:tcPr>
          <w:p w14:paraId="2E414943">
            <w:pPr>
              <w:jc w:val="center"/>
              <w:rPr>
                <w:rFonts w:ascii="宋体" w:hAnsi="宋体" w:cs="宋体"/>
                <w:color w:val="000000"/>
                <w:sz w:val="20"/>
                <w:szCs w:val="20"/>
              </w:rPr>
            </w:pPr>
          </w:p>
        </w:tc>
      </w:tr>
      <w:tr w14:paraId="407B10E4">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0C7DADCD">
            <w:pPr>
              <w:rPr>
                <w:rFonts w:ascii="Calibri" w:hAnsi="Calibri" w:cs="Calibri"/>
                <w:color w:val="000000"/>
                <w:sz w:val="22"/>
                <w:szCs w:val="22"/>
              </w:rPr>
            </w:pP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2ADD33CE">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合计</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60A8B59F">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748.65</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2EB6D59E">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675.91</w:t>
            </w: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284185B7">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620.94</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FE2734A">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54.97</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168A6489">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72.74</w:t>
            </w:r>
          </w:p>
        </w:tc>
      </w:tr>
      <w:tr w14:paraId="75E35BAC">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7D04D881">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201</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08DC19E3">
            <w:pPr>
              <w:widowControl/>
              <w:jc w:val="left"/>
              <w:textAlignment w:val="center"/>
              <w:rPr>
                <w:rFonts w:ascii="Calibri" w:hAnsi="Calibri" w:cs="Calibri"/>
                <w:color w:val="000000"/>
                <w:sz w:val="22"/>
                <w:szCs w:val="22"/>
              </w:rPr>
            </w:pPr>
            <w:r>
              <w:rPr>
                <w:rFonts w:ascii="Calibri" w:hAnsi="Calibri" w:cs="Calibri"/>
                <w:color w:val="000000"/>
                <w:kern w:val="0"/>
                <w:sz w:val="22"/>
                <w:szCs w:val="22"/>
              </w:rPr>
              <w:t>一般公共服务支出</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4981233E">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1.10</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27F158EB">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1.10</w:t>
            </w: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0457AEDD">
            <w:pPr>
              <w:rPr>
                <w:rFonts w:ascii="Calibri" w:hAnsi="Calibri" w:cs="Calibri"/>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26D6C566">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1.10</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0D6EDB2">
            <w:pPr>
              <w:rPr>
                <w:rFonts w:ascii="Calibri" w:hAnsi="Calibri" w:cs="Calibri"/>
                <w:color w:val="000000"/>
                <w:sz w:val="22"/>
                <w:szCs w:val="22"/>
              </w:rPr>
            </w:pPr>
          </w:p>
        </w:tc>
      </w:tr>
      <w:tr w14:paraId="69A12826">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001C4D13">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20136</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42443AEB">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其他共产党事务支出</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1D3B869E">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1.10</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61148373">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1.10</w:t>
            </w: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3C4FE5DE">
            <w:pPr>
              <w:rPr>
                <w:rFonts w:ascii="Calibri" w:hAnsi="Calibri" w:cs="Calibri"/>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F5481F8">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1.10</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249B97B9">
            <w:pPr>
              <w:rPr>
                <w:rFonts w:ascii="Calibri" w:hAnsi="Calibri" w:cs="Calibri"/>
                <w:color w:val="000000"/>
                <w:sz w:val="22"/>
                <w:szCs w:val="22"/>
              </w:rPr>
            </w:pPr>
          </w:p>
        </w:tc>
      </w:tr>
      <w:tr w14:paraId="1056A562">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24104824">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2013699</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2E9ACCB7">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其他共产党事务支出</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4FDB7C96">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1.10</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6C436868">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1.10</w:t>
            </w: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04945DFA">
            <w:pPr>
              <w:rPr>
                <w:rFonts w:ascii="Calibri" w:hAnsi="Calibri" w:cs="Calibri"/>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227E7026">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1.10</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2057EC4">
            <w:pPr>
              <w:rPr>
                <w:rFonts w:ascii="Calibri" w:hAnsi="Calibri" w:cs="Calibri"/>
                <w:color w:val="000000"/>
                <w:sz w:val="22"/>
                <w:szCs w:val="22"/>
              </w:rPr>
            </w:pPr>
          </w:p>
        </w:tc>
      </w:tr>
      <w:tr w14:paraId="17024507">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6D127911">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208</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72C85825">
            <w:pPr>
              <w:widowControl/>
              <w:jc w:val="left"/>
              <w:textAlignment w:val="center"/>
              <w:rPr>
                <w:rFonts w:ascii="Calibri" w:hAnsi="Calibri" w:cs="Calibri"/>
                <w:color w:val="000000"/>
                <w:sz w:val="22"/>
                <w:szCs w:val="22"/>
              </w:rPr>
            </w:pPr>
            <w:r>
              <w:rPr>
                <w:rFonts w:ascii="Calibri" w:hAnsi="Calibri" w:cs="Calibri"/>
                <w:color w:val="000000"/>
                <w:kern w:val="0"/>
                <w:sz w:val="22"/>
                <w:szCs w:val="22"/>
              </w:rPr>
              <w:t>社会保障和就业支出</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5062A384">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201.92</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1B310DA8">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201.92</w:t>
            </w: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66D5CE29">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199.70</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4E3E4F6">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2.22</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1561C09">
            <w:pPr>
              <w:rPr>
                <w:rFonts w:ascii="Calibri" w:hAnsi="Calibri" w:cs="Calibri"/>
                <w:color w:val="000000"/>
                <w:sz w:val="22"/>
                <w:szCs w:val="22"/>
              </w:rPr>
            </w:pPr>
          </w:p>
        </w:tc>
      </w:tr>
      <w:tr w14:paraId="6165BB5F">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433FEFE1">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20805</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6D537AF8">
            <w:pPr>
              <w:widowControl/>
              <w:jc w:val="left"/>
              <w:textAlignment w:val="center"/>
              <w:rPr>
                <w:rFonts w:ascii="Calibri" w:hAnsi="Calibri" w:cs="Calibri"/>
                <w:color w:val="000000"/>
                <w:sz w:val="22"/>
                <w:szCs w:val="22"/>
              </w:rPr>
            </w:pPr>
            <w:r>
              <w:rPr>
                <w:rFonts w:ascii="Calibri" w:hAnsi="Calibri" w:cs="Calibri"/>
                <w:color w:val="000000"/>
                <w:kern w:val="0"/>
                <w:sz w:val="22"/>
                <w:szCs w:val="22"/>
              </w:rPr>
              <w:t>行政事业单位养老支出</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057FD7AA">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201.92</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5E31B66D">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201.92</w:t>
            </w: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156F142A">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199.70</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81A437B">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2.22</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29F0938E">
            <w:pPr>
              <w:rPr>
                <w:rFonts w:ascii="Calibri" w:hAnsi="Calibri" w:cs="Calibri"/>
                <w:color w:val="000000"/>
                <w:sz w:val="22"/>
                <w:szCs w:val="22"/>
              </w:rPr>
            </w:pPr>
          </w:p>
        </w:tc>
      </w:tr>
      <w:tr w14:paraId="698B76EB">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6E717C7B">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2080501</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69CFB120">
            <w:pPr>
              <w:widowControl/>
              <w:jc w:val="left"/>
              <w:textAlignment w:val="center"/>
              <w:rPr>
                <w:rFonts w:ascii="Calibri" w:hAnsi="Calibri" w:cs="Calibri"/>
                <w:color w:val="000000"/>
                <w:sz w:val="22"/>
                <w:szCs w:val="22"/>
              </w:rPr>
            </w:pPr>
            <w:r>
              <w:rPr>
                <w:rFonts w:ascii="Calibri" w:hAnsi="Calibri" w:cs="Calibri"/>
                <w:color w:val="000000"/>
                <w:kern w:val="0"/>
                <w:sz w:val="22"/>
                <w:szCs w:val="22"/>
              </w:rPr>
              <w:t>行政单位离退休</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0E4F7947">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125.91</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2E878F2C">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125.91</w:t>
            </w: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172DB4DC">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123.69</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1FB0E6F">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2.22</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87C9BFA">
            <w:pPr>
              <w:rPr>
                <w:rFonts w:ascii="Calibri" w:hAnsi="Calibri" w:cs="Calibri"/>
                <w:color w:val="000000"/>
                <w:sz w:val="22"/>
                <w:szCs w:val="22"/>
              </w:rPr>
            </w:pPr>
          </w:p>
        </w:tc>
      </w:tr>
      <w:tr w14:paraId="4FA4E7F3">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2D064ADF">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2080505</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356E8C70">
            <w:pPr>
              <w:widowControl/>
              <w:jc w:val="left"/>
              <w:textAlignment w:val="center"/>
              <w:rPr>
                <w:rFonts w:ascii="Calibri" w:hAnsi="Calibri" w:cs="Calibri"/>
                <w:color w:val="000000"/>
                <w:sz w:val="22"/>
                <w:szCs w:val="22"/>
              </w:rPr>
            </w:pPr>
            <w:r>
              <w:rPr>
                <w:rFonts w:ascii="Calibri" w:hAnsi="Calibri" w:cs="Calibri"/>
                <w:color w:val="000000"/>
                <w:kern w:val="0"/>
                <w:sz w:val="22"/>
                <w:szCs w:val="22"/>
              </w:rPr>
              <w:t>机关事业单位基本养老保险缴费支出</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0906F017">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50.67</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1EC3C57F">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50.67</w:t>
            </w: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4C002837">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50.67</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178B255B">
            <w:pPr>
              <w:rPr>
                <w:rFonts w:ascii="Calibri" w:hAnsi="Calibri" w:cs="Calibri"/>
                <w:color w:val="000000"/>
                <w:sz w:val="22"/>
                <w:szCs w:val="22"/>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091E0DB5">
            <w:pPr>
              <w:rPr>
                <w:rFonts w:ascii="Calibri" w:hAnsi="Calibri" w:cs="Calibri"/>
                <w:color w:val="000000"/>
                <w:sz w:val="22"/>
                <w:szCs w:val="22"/>
              </w:rPr>
            </w:pPr>
          </w:p>
        </w:tc>
      </w:tr>
      <w:tr w14:paraId="12C5CE2A">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15C699CB">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2080506</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19B86E9B">
            <w:pPr>
              <w:widowControl/>
              <w:jc w:val="left"/>
              <w:textAlignment w:val="center"/>
              <w:rPr>
                <w:rFonts w:ascii="Calibri" w:hAnsi="Calibri" w:cs="Calibri"/>
                <w:color w:val="000000"/>
                <w:sz w:val="22"/>
                <w:szCs w:val="22"/>
              </w:rPr>
            </w:pPr>
            <w:r>
              <w:rPr>
                <w:rFonts w:ascii="Calibri" w:hAnsi="Calibri" w:cs="Calibri"/>
                <w:color w:val="000000"/>
                <w:kern w:val="0"/>
                <w:sz w:val="22"/>
                <w:szCs w:val="22"/>
              </w:rPr>
              <w:t>机关事业单位职业年金缴费支出</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643B5D39">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25.33</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585BC553">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25.33</w:t>
            </w: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72362D3A">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25.33</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3107468">
            <w:pPr>
              <w:rPr>
                <w:rFonts w:ascii="Calibri" w:hAnsi="Calibri" w:cs="Calibri"/>
                <w:color w:val="000000"/>
                <w:sz w:val="22"/>
                <w:szCs w:val="22"/>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E654B14">
            <w:pPr>
              <w:rPr>
                <w:rFonts w:ascii="Calibri" w:hAnsi="Calibri" w:cs="Calibri"/>
                <w:color w:val="000000"/>
                <w:sz w:val="22"/>
                <w:szCs w:val="22"/>
              </w:rPr>
            </w:pPr>
          </w:p>
        </w:tc>
      </w:tr>
      <w:tr w14:paraId="4CD53BA6">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0A1FCB32">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210</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72B42248">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卫生健康支出</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74603EA9">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40.42</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7A054241">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27.68</w:t>
            </w: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05399E44">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27.68</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0729F58">
            <w:pPr>
              <w:rPr>
                <w:rFonts w:ascii="Calibri" w:hAnsi="Calibri" w:cs="Calibri"/>
                <w:color w:val="000000"/>
                <w:sz w:val="22"/>
                <w:szCs w:val="22"/>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E1059F9">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12.74</w:t>
            </w:r>
          </w:p>
        </w:tc>
      </w:tr>
      <w:tr w14:paraId="71DF516B">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221819D4">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21004</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4D7421E1">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公共卫生</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4EFBB8D7">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12.74</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752EFFE1">
            <w:pPr>
              <w:rPr>
                <w:rFonts w:ascii="Calibri" w:hAnsi="Calibri" w:cs="Calibri"/>
                <w:color w:val="000000"/>
                <w:sz w:val="22"/>
                <w:szCs w:val="22"/>
              </w:rPr>
            </w:pP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74746B5E">
            <w:pPr>
              <w:rPr>
                <w:rFonts w:ascii="Calibri" w:hAnsi="Calibri" w:cs="Calibri"/>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328E22F6">
            <w:pPr>
              <w:rPr>
                <w:rFonts w:ascii="Calibri" w:hAnsi="Calibri" w:cs="Calibri"/>
                <w:color w:val="000000"/>
                <w:sz w:val="22"/>
                <w:szCs w:val="22"/>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7D3DA01">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12.74</w:t>
            </w:r>
          </w:p>
        </w:tc>
      </w:tr>
      <w:tr w14:paraId="532B82AB">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1F9A2DC4">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2100409</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07DB024A">
            <w:pPr>
              <w:widowControl/>
              <w:jc w:val="left"/>
              <w:textAlignment w:val="center"/>
              <w:rPr>
                <w:rFonts w:ascii="Calibri" w:hAnsi="Calibri" w:cs="Calibri"/>
                <w:color w:val="000000"/>
                <w:sz w:val="22"/>
                <w:szCs w:val="22"/>
              </w:rPr>
            </w:pPr>
            <w:r>
              <w:rPr>
                <w:rFonts w:ascii="Calibri" w:hAnsi="Calibri" w:cs="Calibri"/>
                <w:color w:val="000000"/>
                <w:kern w:val="0"/>
                <w:sz w:val="22"/>
                <w:szCs w:val="22"/>
              </w:rPr>
              <w:t>重大公共卫生服务</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2C1391BA">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12.74</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31842D04">
            <w:pPr>
              <w:rPr>
                <w:rFonts w:ascii="Calibri" w:hAnsi="Calibri" w:cs="Calibri"/>
                <w:color w:val="000000"/>
                <w:sz w:val="22"/>
                <w:szCs w:val="22"/>
              </w:rPr>
            </w:pP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146E779E">
            <w:pPr>
              <w:rPr>
                <w:rFonts w:ascii="Calibri" w:hAnsi="Calibri" w:cs="Calibri"/>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3C2147E">
            <w:pPr>
              <w:rPr>
                <w:rFonts w:ascii="Calibri" w:hAnsi="Calibri" w:cs="Calibri"/>
                <w:color w:val="000000"/>
                <w:sz w:val="22"/>
                <w:szCs w:val="22"/>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4C73AADB">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12.74</w:t>
            </w:r>
          </w:p>
        </w:tc>
      </w:tr>
      <w:tr w14:paraId="0E03DCAC">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52E1D5E9">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21011</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6F0E0CC9">
            <w:pPr>
              <w:widowControl/>
              <w:jc w:val="left"/>
              <w:textAlignment w:val="center"/>
              <w:rPr>
                <w:rFonts w:ascii="Calibri" w:hAnsi="Calibri" w:cs="Calibri"/>
                <w:color w:val="000000"/>
                <w:sz w:val="22"/>
                <w:szCs w:val="22"/>
              </w:rPr>
            </w:pPr>
            <w:r>
              <w:rPr>
                <w:rFonts w:ascii="Calibri" w:hAnsi="Calibri" w:cs="Calibri"/>
                <w:color w:val="000000"/>
                <w:kern w:val="0"/>
                <w:sz w:val="22"/>
                <w:szCs w:val="22"/>
              </w:rPr>
              <w:t>行政事业单位医疗</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27C6C7F4">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27.68</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292A99C1">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27.68</w:t>
            </w: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13417A8B">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27.68</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2B953F2">
            <w:pPr>
              <w:rPr>
                <w:rFonts w:ascii="Calibri" w:hAnsi="Calibri" w:cs="Calibri"/>
                <w:color w:val="000000"/>
                <w:sz w:val="22"/>
                <w:szCs w:val="22"/>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9EA68A7">
            <w:pPr>
              <w:rPr>
                <w:rFonts w:ascii="Calibri" w:hAnsi="Calibri" w:cs="Calibri"/>
                <w:color w:val="000000"/>
                <w:sz w:val="22"/>
                <w:szCs w:val="22"/>
              </w:rPr>
            </w:pPr>
          </w:p>
        </w:tc>
      </w:tr>
      <w:tr w14:paraId="054F4632">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46D64224">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2101101</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4D1B5C9A">
            <w:pPr>
              <w:widowControl/>
              <w:jc w:val="left"/>
              <w:textAlignment w:val="center"/>
              <w:rPr>
                <w:rFonts w:ascii="Calibri" w:hAnsi="Calibri" w:cs="Calibri"/>
                <w:color w:val="000000"/>
                <w:sz w:val="22"/>
                <w:szCs w:val="22"/>
              </w:rPr>
            </w:pPr>
            <w:r>
              <w:rPr>
                <w:rFonts w:ascii="Calibri" w:hAnsi="Calibri" w:cs="Calibri"/>
                <w:color w:val="000000"/>
                <w:kern w:val="0"/>
                <w:sz w:val="22"/>
                <w:szCs w:val="22"/>
              </w:rPr>
              <w:t>行政单位医疗</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4F6A55BD">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27.68</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303D0906">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27.68</w:t>
            </w: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7846F0F6">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27.68</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6CD87690">
            <w:pPr>
              <w:rPr>
                <w:rFonts w:ascii="Calibri" w:hAnsi="Calibri" w:cs="Calibri"/>
                <w:color w:val="000000"/>
                <w:sz w:val="22"/>
                <w:szCs w:val="22"/>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B6F9274">
            <w:pPr>
              <w:rPr>
                <w:rFonts w:ascii="Calibri" w:hAnsi="Calibri" w:cs="Calibri"/>
                <w:color w:val="000000"/>
                <w:sz w:val="22"/>
                <w:szCs w:val="22"/>
              </w:rPr>
            </w:pPr>
          </w:p>
        </w:tc>
      </w:tr>
      <w:tr w14:paraId="421DA43C">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7BE70A22">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215</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458D4808">
            <w:pPr>
              <w:widowControl/>
              <w:jc w:val="left"/>
              <w:textAlignment w:val="center"/>
              <w:rPr>
                <w:rFonts w:ascii="Calibri" w:hAnsi="Calibri" w:cs="Calibri"/>
                <w:color w:val="000000"/>
                <w:sz w:val="22"/>
                <w:szCs w:val="22"/>
              </w:rPr>
            </w:pPr>
            <w:r>
              <w:rPr>
                <w:rFonts w:ascii="Calibri" w:hAnsi="Calibri" w:cs="Calibri"/>
                <w:color w:val="000000"/>
                <w:kern w:val="0"/>
                <w:sz w:val="22"/>
                <w:szCs w:val="22"/>
              </w:rPr>
              <w:t>资源勘探工业信息等支出</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511DC5C5">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464.47</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0A7F4305">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404.47</w:t>
            </w: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0B8754B5">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352.82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C87D854">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51.65</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1B714EBC">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60.00</w:t>
            </w:r>
          </w:p>
        </w:tc>
      </w:tr>
      <w:tr w14:paraId="26BBACB7">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34E0E056">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21505</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138E77E0">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工业和信息产业监管</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00E5A219">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461.47</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3384F90A">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404.47</w:t>
            </w: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4D9F46DC">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352.82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AC72D2E">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51.65</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423201E4">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57.00</w:t>
            </w:r>
          </w:p>
        </w:tc>
      </w:tr>
      <w:tr w14:paraId="1B16511A">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4716F115">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2150501</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5A0F1180">
            <w:pPr>
              <w:widowControl/>
              <w:jc w:val="left"/>
              <w:textAlignment w:val="center"/>
              <w:rPr>
                <w:rFonts w:ascii="Calibri" w:hAnsi="Calibri" w:cs="Calibri"/>
                <w:color w:val="000000"/>
                <w:sz w:val="22"/>
                <w:szCs w:val="22"/>
              </w:rPr>
            </w:pPr>
            <w:r>
              <w:rPr>
                <w:rFonts w:ascii="Calibri" w:hAnsi="Calibri" w:cs="Calibri"/>
                <w:color w:val="000000"/>
                <w:kern w:val="0"/>
                <w:sz w:val="22"/>
                <w:szCs w:val="22"/>
              </w:rPr>
              <w:t>行政运行</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336A9253">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461.47</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6E60A157">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404.47</w:t>
            </w: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60C5C3BA">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352.82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6FE64CB">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51.65</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3710D24B">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57.00</w:t>
            </w:r>
          </w:p>
        </w:tc>
      </w:tr>
      <w:tr w14:paraId="237D1333">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52B38EA4">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21599</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206BDC9C">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其他资源勘探工业信息等支出</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71C9A573">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3.00</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48D9E032">
            <w:pPr>
              <w:rPr>
                <w:rFonts w:ascii="Calibri" w:hAnsi="Calibri" w:cs="Calibri"/>
                <w:color w:val="000000"/>
                <w:sz w:val="22"/>
                <w:szCs w:val="22"/>
              </w:rPr>
            </w:pP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7F1367F1">
            <w:pPr>
              <w:rPr>
                <w:rFonts w:ascii="Calibri" w:hAnsi="Calibri" w:cs="Calibri"/>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29D5D53D">
            <w:pPr>
              <w:rPr>
                <w:rFonts w:ascii="Calibri" w:hAnsi="Calibri" w:cs="Calibri"/>
                <w:color w:val="000000"/>
                <w:sz w:val="22"/>
                <w:szCs w:val="22"/>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5E41865">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3.00</w:t>
            </w:r>
          </w:p>
        </w:tc>
      </w:tr>
      <w:tr w14:paraId="0ED0428F">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2F2BAA5D">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2159999</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4A312807">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其他资源勘探工业信息等支出</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6DEFCBEF">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3.00</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68B3AFB4">
            <w:pPr>
              <w:rPr>
                <w:rFonts w:ascii="Calibri" w:hAnsi="Calibri" w:cs="Calibri"/>
                <w:color w:val="000000"/>
                <w:sz w:val="22"/>
                <w:szCs w:val="22"/>
              </w:rPr>
            </w:pP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4AFEBCB8">
            <w:pPr>
              <w:rPr>
                <w:rFonts w:ascii="Calibri" w:hAnsi="Calibri" w:cs="Calibri"/>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8E6049C">
            <w:pPr>
              <w:rPr>
                <w:rFonts w:ascii="Calibri" w:hAnsi="Calibri" w:cs="Calibri"/>
                <w:color w:val="000000"/>
                <w:sz w:val="22"/>
                <w:szCs w:val="22"/>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30133DFF">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3.00</w:t>
            </w:r>
          </w:p>
        </w:tc>
      </w:tr>
      <w:tr w14:paraId="13512441">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2D97E155">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221</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7BDDECE9">
            <w:pPr>
              <w:widowControl/>
              <w:jc w:val="left"/>
              <w:textAlignment w:val="center"/>
              <w:rPr>
                <w:rFonts w:ascii="Calibri" w:hAnsi="Calibri" w:cs="Calibri"/>
                <w:color w:val="000000"/>
                <w:sz w:val="22"/>
                <w:szCs w:val="22"/>
              </w:rPr>
            </w:pPr>
            <w:r>
              <w:rPr>
                <w:rFonts w:ascii="Calibri" w:hAnsi="Calibri" w:cs="Calibri"/>
                <w:color w:val="000000"/>
                <w:kern w:val="0"/>
                <w:sz w:val="22"/>
                <w:szCs w:val="22"/>
              </w:rPr>
              <w:t>住房保障支出</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0427BAE1">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40.74</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632766C5">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40.74</w:t>
            </w: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7953B87E">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40.74</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658ADCC3">
            <w:pPr>
              <w:rPr>
                <w:rFonts w:ascii="Calibri" w:hAnsi="Calibri" w:cs="Calibri"/>
                <w:color w:val="000000"/>
                <w:sz w:val="22"/>
                <w:szCs w:val="22"/>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012B2A23">
            <w:pPr>
              <w:rPr>
                <w:rFonts w:ascii="Calibri" w:hAnsi="Calibri" w:cs="Calibri"/>
                <w:color w:val="000000"/>
                <w:sz w:val="22"/>
                <w:szCs w:val="22"/>
              </w:rPr>
            </w:pPr>
          </w:p>
        </w:tc>
      </w:tr>
      <w:tr w14:paraId="690E32D6">
        <w:tblPrEx>
          <w:tblCellMar>
            <w:top w:w="0" w:type="dxa"/>
            <w:left w:w="108" w:type="dxa"/>
            <w:bottom w:w="0" w:type="dxa"/>
            <w:right w:w="108" w:type="dxa"/>
          </w:tblCellMar>
        </w:tblPrEx>
        <w:trPr>
          <w:trHeight w:val="347"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4659C6C5">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22102</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0EB05573">
            <w:pPr>
              <w:widowControl/>
              <w:jc w:val="left"/>
              <w:textAlignment w:val="center"/>
              <w:rPr>
                <w:rFonts w:ascii="Calibri" w:hAnsi="Calibri" w:cs="Calibri"/>
                <w:color w:val="000000"/>
                <w:sz w:val="22"/>
                <w:szCs w:val="22"/>
              </w:rPr>
            </w:pPr>
            <w:r>
              <w:rPr>
                <w:rFonts w:ascii="Calibri" w:hAnsi="Calibri" w:cs="Calibri"/>
                <w:color w:val="000000"/>
                <w:kern w:val="0"/>
                <w:sz w:val="22"/>
                <w:szCs w:val="22"/>
              </w:rPr>
              <w:t>住房改革支出</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70BB73E9">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40.74</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42E0F91A">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40.74</w:t>
            </w: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616B62DD">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40.74</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18913E9C">
            <w:pPr>
              <w:rPr>
                <w:rFonts w:ascii="Calibri" w:hAnsi="Calibri" w:cs="Calibri"/>
                <w:color w:val="000000"/>
                <w:sz w:val="22"/>
                <w:szCs w:val="22"/>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00AC29AE">
            <w:pPr>
              <w:rPr>
                <w:rFonts w:ascii="Calibri" w:hAnsi="Calibri" w:cs="Calibri"/>
                <w:color w:val="000000"/>
                <w:sz w:val="22"/>
                <w:szCs w:val="22"/>
              </w:rPr>
            </w:pPr>
          </w:p>
        </w:tc>
      </w:tr>
      <w:tr w14:paraId="72E31407">
        <w:tblPrEx>
          <w:tblCellMar>
            <w:top w:w="0" w:type="dxa"/>
            <w:left w:w="108" w:type="dxa"/>
            <w:bottom w:w="0" w:type="dxa"/>
            <w:right w:w="108" w:type="dxa"/>
          </w:tblCellMar>
        </w:tblPrEx>
        <w:trPr>
          <w:trHeight w:val="353" w:hRule="atLeast"/>
        </w:trPr>
        <w:tc>
          <w:tcPr>
            <w:tcW w:w="1146" w:type="dxa"/>
            <w:tcBorders>
              <w:top w:val="single" w:color="000000" w:sz="4" w:space="0"/>
              <w:left w:val="single" w:color="000000" w:sz="4" w:space="0"/>
              <w:bottom w:val="single" w:color="000000" w:sz="4" w:space="0"/>
              <w:right w:val="single" w:color="000000" w:sz="4" w:space="0"/>
            </w:tcBorders>
            <w:noWrap/>
            <w:vAlign w:val="center"/>
          </w:tcPr>
          <w:p w14:paraId="7B71DB2F">
            <w:pPr>
              <w:widowControl/>
              <w:jc w:val="left"/>
              <w:textAlignment w:val="center"/>
              <w:rPr>
                <w:rFonts w:ascii="Calibri" w:hAnsi="Calibri" w:cs="Calibri"/>
                <w:color w:val="000000"/>
                <w:sz w:val="22"/>
                <w:szCs w:val="22"/>
              </w:rPr>
            </w:pPr>
            <w:r>
              <w:rPr>
                <w:rFonts w:ascii="Calibri" w:hAnsi="Calibri" w:cs="Calibri"/>
                <w:color w:val="000000"/>
                <w:kern w:val="0"/>
                <w:sz w:val="22"/>
                <w:szCs w:val="22"/>
              </w:rPr>
              <w:t>2210201</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341F125F">
            <w:pPr>
              <w:widowControl/>
              <w:jc w:val="left"/>
              <w:textAlignment w:val="center"/>
              <w:rPr>
                <w:rFonts w:ascii="Calibri" w:hAnsi="Calibri" w:cs="Calibri"/>
                <w:color w:val="000000"/>
                <w:sz w:val="22"/>
                <w:szCs w:val="22"/>
              </w:rPr>
            </w:pPr>
            <w:r>
              <w:rPr>
                <w:rFonts w:ascii="Calibri" w:hAnsi="Calibri" w:cs="Calibri"/>
                <w:color w:val="000000"/>
                <w:kern w:val="0"/>
                <w:sz w:val="22"/>
                <w:szCs w:val="22"/>
              </w:rPr>
              <w:t>住房公积金</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17552D51">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40.74</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36BB3091">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40.74</w:t>
            </w: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35CDBC59">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40.74</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D15ABEA">
            <w:pPr>
              <w:rPr>
                <w:rFonts w:ascii="Calibri" w:hAnsi="Calibri" w:cs="Calibri"/>
                <w:color w:val="000000"/>
                <w:sz w:val="22"/>
                <w:szCs w:val="22"/>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049194ED">
            <w:pPr>
              <w:rPr>
                <w:rFonts w:ascii="Calibri" w:hAnsi="Calibri" w:cs="Calibri"/>
                <w:color w:val="000000"/>
                <w:sz w:val="22"/>
                <w:szCs w:val="22"/>
              </w:rPr>
            </w:pPr>
          </w:p>
        </w:tc>
      </w:tr>
    </w:tbl>
    <w:p w14:paraId="44165344">
      <w:pPr>
        <w:pStyle w:val="9"/>
        <w:adjustRightInd w:val="0"/>
        <w:snapToGrid w:val="0"/>
        <w:spacing w:before="0" w:beforeAutospacing="0" w:after="0" w:afterAutospacing="0" w:line="360" w:lineRule="auto"/>
        <w:jc w:val="center"/>
        <w:rPr>
          <w:rFonts w:ascii="Times New Roman" w:hAnsi="Times New Roman" w:eastAsia="黑体" w:cs="Times New Roman"/>
          <w:bCs/>
          <w:sz w:val="36"/>
          <w:szCs w:val="36"/>
        </w:rPr>
      </w:pPr>
    </w:p>
    <w:p w14:paraId="067724E1">
      <w:pPr>
        <w:pStyle w:val="9"/>
        <w:adjustRightInd w:val="0"/>
        <w:snapToGrid w:val="0"/>
        <w:spacing w:before="0" w:beforeAutospacing="0" w:after="0" w:afterAutospacing="0" w:line="360" w:lineRule="auto"/>
        <w:jc w:val="center"/>
        <w:rPr>
          <w:rFonts w:ascii="Times New Roman" w:hAnsi="Times New Roman" w:eastAsia="黑体" w:cs="Times New Roman"/>
          <w:bCs/>
          <w:sz w:val="36"/>
          <w:szCs w:val="36"/>
        </w:rPr>
      </w:pPr>
    </w:p>
    <w:p w14:paraId="3C9BA01F">
      <w:pPr>
        <w:pStyle w:val="9"/>
        <w:adjustRightInd w:val="0"/>
        <w:snapToGrid w:val="0"/>
        <w:spacing w:before="0" w:beforeAutospacing="0" w:after="0" w:afterAutospacing="0" w:line="600" w:lineRule="exact"/>
        <w:jc w:val="both"/>
        <w:rPr>
          <w:rFonts w:ascii="黑体" w:hAnsi="黑体" w:eastAsia="黑体" w:cs="Times New Roman"/>
          <w:bCs/>
          <w:sz w:val="36"/>
          <w:szCs w:val="36"/>
        </w:rPr>
      </w:pPr>
    </w:p>
    <w:p w14:paraId="289423CC">
      <w:pPr>
        <w:pStyle w:val="9"/>
        <w:adjustRightInd w:val="0"/>
        <w:snapToGrid w:val="0"/>
        <w:spacing w:before="0" w:beforeAutospacing="0" w:after="0" w:afterAutospacing="0" w:line="600" w:lineRule="exact"/>
        <w:jc w:val="both"/>
        <w:rPr>
          <w:rFonts w:ascii="黑体" w:hAnsi="黑体" w:eastAsia="黑体" w:cs="Times New Roman"/>
          <w:bCs/>
          <w:sz w:val="36"/>
          <w:szCs w:val="36"/>
        </w:rPr>
      </w:pPr>
    </w:p>
    <w:tbl>
      <w:tblPr>
        <w:tblStyle w:val="10"/>
        <w:tblW w:w="9502" w:type="dxa"/>
        <w:tblInd w:w="93" w:type="dxa"/>
        <w:tblLayout w:type="autofit"/>
        <w:tblCellMar>
          <w:top w:w="0" w:type="dxa"/>
          <w:left w:w="108" w:type="dxa"/>
          <w:bottom w:w="0" w:type="dxa"/>
          <w:right w:w="108" w:type="dxa"/>
        </w:tblCellMar>
      </w:tblPr>
      <w:tblGrid>
        <w:gridCol w:w="1823"/>
        <w:gridCol w:w="3296"/>
        <w:gridCol w:w="1640"/>
        <w:gridCol w:w="1413"/>
        <w:gridCol w:w="1330"/>
      </w:tblGrid>
      <w:tr w14:paraId="7F68D7D9">
        <w:tblPrEx>
          <w:tblCellMar>
            <w:top w:w="0" w:type="dxa"/>
            <w:left w:w="108" w:type="dxa"/>
            <w:bottom w:w="0" w:type="dxa"/>
            <w:right w:w="108" w:type="dxa"/>
          </w:tblCellMar>
        </w:tblPrEx>
        <w:trPr>
          <w:trHeight w:val="356" w:hRule="atLeast"/>
        </w:trPr>
        <w:tc>
          <w:tcPr>
            <w:tcW w:w="1823" w:type="dxa"/>
            <w:tcBorders>
              <w:top w:val="nil"/>
              <w:left w:val="nil"/>
              <w:bottom w:val="nil"/>
              <w:right w:val="nil"/>
            </w:tcBorders>
            <w:noWrap/>
            <w:vAlign w:val="bottom"/>
          </w:tcPr>
          <w:p w14:paraId="783C75DD">
            <w:pPr>
              <w:rPr>
                <w:rFonts w:ascii="Arial" w:hAnsi="Arial" w:cs="Arial"/>
                <w:color w:val="000000"/>
                <w:sz w:val="20"/>
                <w:szCs w:val="20"/>
              </w:rPr>
            </w:pPr>
          </w:p>
        </w:tc>
        <w:tc>
          <w:tcPr>
            <w:tcW w:w="3296" w:type="dxa"/>
            <w:tcBorders>
              <w:top w:val="nil"/>
              <w:left w:val="nil"/>
              <w:bottom w:val="nil"/>
              <w:right w:val="nil"/>
            </w:tcBorders>
            <w:noWrap/>
            <w:vAlign w:val="bottom"/>
          </w:tcPr>
          <w:p w14:paraId="59F4FA66">
            <w:pPr>
              <w:rPr>
                <w:rFonts w:ascii="Arial" w:hAnsi="Arial" w:cs="Arial"/>
                <w:color w:val="000000"/>
                <w:sz w:val="20"/>
                <w:szCs w:val="20"/>
              </w:rPr>
            </w:pPr>
          </w:p>
        </w:tc>
        <w:tc>
          <w:tcPr>
            <w:tcW w:w="4383" w:type="dxa"/>
            <w:gridSpan w:val="3"/>
            <w:tcBorders>
              <w:top w:val="nil"/>
              <w:left w:val="nil"/>
              <w:bottom w:val="nil"/>
              <w:right w:val="nil"/>
            </w:tcBorders>
            <w:noWrap/>
            <w:vAlign w:val="bottom"/>
          </w:tcPr>
          <w:p w14:paraId="4B25F4F3">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部门（单位）公开表6</w:t>
            </w:r>
          </w:p>
        </w:tc>
      </w:tr>
      <w:tr w14:paraId="438E0558">
        <w:tblPrEx>
          <w:tblCellMar>
            <w:top w:w="0" w:type="dxa"/>
            <w:left w:w="108" w:type="dxa"/>
            <w:bottom w:w="0" w:type="dxa"/>
            <w:right w:w="108" w:type="dxa"/>
          </w:tblCellMar>
        </w:tblPrEx>
        <w:trPr>
          <w:trHeight w:val="712" w:hRule="atLeast"/>
        </w:trPr>
        <w:tc>
          <w:tcPr>
            <w:tcW w:w="0" w:type="auto"/>
            <w:gridSpan w:val="5"/>
            <w:tcBorders>
              <w:top w:val="nil"/>
              <w:left w:val="nil"/>
              <w:bottom w:val="nil"/>
              <w:right w:val="nil"/>
            </w:tcBorders>
            <w:noWrap/>
            <w:vAlign w:val="center"/>
          </w:tcPr>
          <w:p w14:paraId="2F33E075">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rPr>
              <w:t>表六、2024年一般公共预算基本支出表</w:t>
            </w:r>
          </w:p>
        </w:tc>
      </w:tr>
      <w:tr w14:paraId="753681D1">
        <w:tblPrEx>
          <w:tblCellMar>
            <w:top w:w="0" w:type="dxa"/>
            <w:left w:w="108" w:type="dxa"/>
            <w:bottom w:w="0" w:type="dxa"/>
            <w:right w:w="108" w:type="dxa"/>
          </w:tblCellMar>
        </w:tblPrEx>
        <w:trPr>
          <w:trHeight w:val="296" w:hRule="atLeast"/>
        </w:trPr>
        <w:tc>
          <w:tcPr>
            <w:tcW w:w="0" w:type="auto"/>
            <w:gridSpan w:val="2"/>
            <w:tcBorders>
              <w:top w:val="nil"/>
              <w:left w:val="nil"/>
              <w:bottom w:val="nil"/>
              <w:right w:val="nil"/>
            </w:tcBorders>
            <w:noWrap/>
            <w:vAlign w:val="center"/>
          </w:tcPr>
          <w:p w14:paraId="05232B0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[077]黄山市经济和信息化局 </w:t>
            </w:r>
          </w:p>
        </w:tc>
        <w:tc>
          <w:tcPr>
            <w:tcW w:w="0" w:type="auto"/>
            <w:tcBorders>
              <w:top w:val="nil"/>
              <w:left w:val="nil"/>
              <w:bottom w:val="nil"/>
              <w:right w:val="nil"/>
            </w:tcBorders>
            <w:noWrap/>
            <w:vAlign w:val="center"/>
          </w:tcPr>
          <w:p w14:paraId="3952CB24">
            <w:pPr>
              <w:jc w:val="right"/>
              <w:rPr>
                <w:rFonts w:ascii="宋体" w:hAnsi="宋体" w:cs="宋体"/>
                <w:color w:val="000000"/>
                <w:sz w:val="18"/>
                <w:szCs w:val="18"/>
              </w:rPr>
            </w:pPr>
          </w:p>
        </w:tc>
        <w:tc>
          <w:tcPr>
            <w:tcW w:w="0" w:type="auto"/>
            <w:tcBorders>
              <w:top w:val="nil"/>
              <w:left w:val="nil"/>
              <w:bottom w:val="nil"/>
              <w:right w:val="nil"/>
            </w:tcBorders>
            <w:noWrap/>
            <w:vAlign w:val="bottom"/>
          </w:tcPr>
          <w:p w14:paraId="18991D68">
            <w:pPr>
              <w:rPr>
                <w:rFonts w:ascii="Arial" w:hAnsi="Arial" w:cs="Arial"/>
                <w:color w:val="000000"/>
                <w:sz w:val="20"/>
                <w:szCs w:val="20"/>
              </w:rPr>
            </w:pPr>
          </w:p>
        </w:tc>
        <w:tc>
          <w:tcPr>
            <w:tcW w:w="0" w:type="auto"/>
            <w:tcBorders>
              <w:top w:val="nil"/>
              <w:left w:val="nil"/>
              <w:bottom w:val="nil"/>
              <w:right w:val="nil"/>
            </w:tcBorders>
            <w:noWrap/>
            <w:vAlign w:val="bottom"/>
          </w:tcPr>
          <w:p w14:paraId="15DF866B">
            <w:pPr>
              <w:widowControl/>
              <w:jc w:val="right"/>
              <w:textAlignment w:val="bottom"/>
              <w:rPr>
                <w:rFonts w:ascii="Calibri" w:hAnsi="Calibri" w:cs="Calibri"/>
                <w:color w:val="000000"/>
                <w:sz w:val="22"/>
                <w:szCs w:val="22"/>
              </w:rPr>
            </w:pPr>
            <w:r>
              <w:rPr>
                <w:rFonts w:ascii="Calibri" w:hAnsi="Calibri" w:cs="Calibri"/>
                <w:color w:val="000000"/>
                <w:kern w:val="0"/>
                <w:sz w:val="22"/>
                <w:szCs w:val="22"/>
              </w:rPr>
              <w:t>单位：万元</w:t>
            </w:r>
          </w:p>
        </w:tc>
      </w:tr>
      <w:tr w14:paraId="275DF694">
        <w:tblPrEx>
          <w:tblCellMar>
            <w:top w:w="0" w:type="dxa"/>
            <w:left w:w="108" w:type="dxa"/>
            <w:bottom w:w="0" w:type="dxa"/>
            <w:right w:w="108" w:type="dxa"/>
          </w:tblCellMar>
        </w:tblPrEx>
        <w:trPr>
          <w:trHeight w:val="579"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1615D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部门预算支出经济分类科目</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5A5BFF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本年一般公共预算基本支出表</w:t>
            </w:r>
          </w:p>
        </w:tc>
      </w:tr>
      <w:tr w14:paraId="60781DEA">
        <w:tblPrEx>
          <w:tblCellMar>
            <w:top w:w="0" w:type="dxa"/>
            <w:left w:w="108" w:type="dxa"/>
            <w:bottom w:w="0" w:type="dxa"/>
            <w:right w:w="108" w:type="dxa"/>
          </w:tblCellMar>
        </w:tblPrEx>
        <w:trPr>
          <w:trHeight w:val="508" w:hRule="atLeast"/>
        </w:trPr>
        <w:tc>
          <w:tcPr>
            <w:tcW w:w="1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A81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科目编码</w:t>
            </w:r>
          </w:p>
        </w:tc>
        <w:tc>
          <w:tcPr>
            <w:tcW w:w="3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606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科目名称</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BB3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6756066">
            <w:pPr>
              <w:widowControl/>
              <w:jc w:val="center"/>
              <w:textAlignment w:val="center"/>
              <w:rPr>
                <w:rFonts w:ascii="Calibri" w:hAnsi="Calibri" w:cs="Calibri"/>
                <w:color w:val="000000"/>
                <w:sz w:val="20"/>
                <w:szCs w:val="20"/>
              </w:rPr>
            </w:pPr>
            <w:r>
              <w:rPr>
                <w:rFonts w:ascii="Calibri" w:hAnsi="Calibri" w:cs="Calibri"/>
                <w:color w:val="000000"/>
                <w:kern w:val="0"/>
                <w:sz w:val="20"/>
                <w:szCs w:val="20"/>
              </w:rPr>
              <w:t>人员经费</w:t>
            </w:r>
          </w:p>
        </w:tc>
        <w:tc>
          <w:tcPr>
            <w:tcW w:w="1330" w:type="dxa"/>
            <w:tcBorders>
              <w:top w:val="single" w:color="000000" w:sz="4" w:space="0"/>
              <w:left w:val="single" w:color="000000" w:sz="4" w:space="0"/>
              <w:bottom w:val="single" w:color="000000" w:sz="4" w:space="0"/>
              <w:right w:val="single" w:color="000000" w:sz="4" w:space="0"/>
            </w:tcBorders>
            <w:noWrap/>
            <w:vAlign w:val="center"/>
          </w:tcPr>
          <w:p w14:paraId="3AE0EC60">
            <w:pPr>
              <w:widowControl/>
              <w:jc w:val="center"/>
              <w:textAlignment w:val="center"/>
              <w:rPr>
                <w:rFonts w:ascii="Calibri" w:hAnsi="Calibri" w:cs="Calibri"/>
                <w:color w:val="000000"/>
                <w:sz w:val="20"/>
                <w:szCs w:val="20"/>
              </w:rPr>
            </w:pPr>
            <w:r>
              <w:rPr>
                <w:rFonts w:ascii="Calibri" w:hAnsi="Calibri" w:cs="Calibri"/>
                <w:color w:val="000000"/>
                <w:kern w:val="0"/>
                <w:sz w:val="20"/>
                <w:szCs w:val="20"/>
              </w:rPr>
              <w:t>公用经费</w:t>
            </w:r>
          </w:p>
        </w:tc>
      </w:tr>
      <w:tr w14:paraId="68735BC5">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1220D1">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101345">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E15BBE">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675.91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1D445">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620.94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DF228">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54.97</w:t>
            </w:r>
          </w:p>
        </w:tc>
      </w:tr>
      <w:tr w14:paraId="634B161B">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FACAC0">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719462">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工资福利支出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41BAEA">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497.22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9884B1">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497.22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4EA171">
            <w:pPr>
              <w:rPr>
                <w:rFonts w:ascii="Calibri" w:hAnsi="Calibri" w:cs="Calibri"/>
                <w:color w:val="000000"/>
                <w:sz w:val="22"/>
                <w:szCs w:val="22"/>
              </w:rPr>
            </w:pPr>
          </w:p>
        </w:tc>
      </w:tr>
      <w:tr w14:paraId="4825A52F">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C1BC17">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30101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0EE9F2">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基本工资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B069CA">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201.79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170E30">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201.79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3B361F">
            <w:pPr>
              <w:rPr>
                <w:rFonts w:ascii="Calibri" w:hAnsi="Calibri" w:cs="Calibri"/>
                <w:color w:val="000000"/>
                <w:sz w:val="22"/>
                <w:szCs w:val="22"/>
              </w:rPr>
            </w:pPr>
          </w:p>
        </w:tc>
      </w:tr>
      <w:tr w14:paraId="329429F7">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A8CB2D">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30102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7DA7B1">
            <w:pPr>
              <w:widowControl/>
              <w:jc w:val="left"/>
              <w:textAlignment w:val="center"/>
              <w:rPr>
                <w:rFonts w:ascii="Calibri" w:hAnsi="Calibri" w:cs="Calibri"/>
                <w:color w:val="000000"/>
                <w:sz w:val="22"/>
                <w:szCs w:val="22"/>
              </w:rPr>
            </w:pPr>
            <w:r>
              <w:rPr>
                <w:rFonts w:ascii="Calibri" w:hAnsi="Calibri" w:cs="Calibri"/>
                <w:color w:val="000000"/>
                <w:kern w:val="0"/>
                <w:sz w:val="22"/>
                <w:szCs w:val="22"/>
              </w:rPr>
              <w:t>津贴补贴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AA94DB">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114.88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06116D">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114.88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C5641A">
            <w:pPr>
              <w:rPr>
                <w:rFonts w:ascii="Calibri" w:hAnsi="Calibri" w:cs="Calibri"/>
                <w:color w:val="000000"/>
                <w:sz w:val="22"/>
                <w:szCs w:val="22"/>
              </w:rPr>
            </w:pPr>
          </w:p>
        </w:tc>
      </w:tr>
      <w:tr w14:paraId="3CD18893">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0B094C">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7C3F63">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奖金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4BC953">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35.72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4022C8">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35.72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666517">
            <w:pPr>
              <w:rPr>
                <w:rFonts w:ascii="Calibri" w:hAnsi="Calibri" w:cs="Calibri"/>
                <w:color w:val="000000"/>
                <w:sz w:val="22"/>
                <w:szCs w:val="22"/>
              </w:rPr>
            </w:pPr>
          </w:p>
        </w:tc>
      </w:tr>
      <w:tr w14:paraId="797A37EF">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68C349">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242442">
            <w:pPr>
              <w:widowControl/>
              <w:jc w:val="left"/>
              <w:textAlignment w:val="center"/>
              <w:rPr>
                <w:rFonts w:ascii="Calibri" w:hAnsi="Calibri" w:cs="Calibri"/>
                <w:color w:val="000000"/>
                <w:sz w:val="22"/>
                <w:szCs w:val="22"/>
              </w:rPr>
            </w:pPr>
            <w:r>
              <w:rPr>
                <w:rFonts w:ascii="Calibri" w:hAnsi="Calibri" w:cs="Calibri"/>
                <w:color w:val="000000"/>
                <w:kern w:val="0"/>
                <w:sz w:val="22"/>
                <w:szCs w:val="22"/>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6F0EA8">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50.67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0931A">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50.67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B5DA9B">
            <w:pPr>
              <w:rPr>
                <w:rFonts w:ascii="Calibri" w:hAnsi="Calibri" w:cs="Calibri"/>
                <w:color w:val="000000"/>
                <w:sz w:val="22"/>
                <w:szCs w:val="22"/>
              </w:rPr>
            </w:pPr>
          </w:p>
        </w:tc>
      </w:tr>
      <w:tr w14:paraId="41E53666">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38BFBB">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30109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A56A09">
            <w:pPr>
              <w:widowControl/>
              <w:jc w:val="left"/>
              <w:textAlignment w:val="center"/>
              <w:rPr>
                <w:rFonts w:ascii="Calibri" w:hAnsi="Calibri" w:cs="Calibri"/>
                <w:color w:val="000000"/>
                <w:sz w:val="22"/>
                <w:szCs w:val="22"/>
              </w:rPr>
            </w:pPr>
            <w:r>
              <w:rPr>
                <w:rFonts w:ascii="Calibri" w:hAnsi="Calibri" w:cs="Calibri"/>
                <w:color w:val="000000"/>
                <w:kern w:val="0"/>
                <w:sz w:val="22"/>
                <w:szCs w:val="22"/>
              </w:rPr>
              <w:t>职业年金缴费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B7A1B9">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25.33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AA978B">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25.33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2038CC">
            <w:pPr>
              <w:rPr>
                <w:rFonts w:ascii="Calibri" w:hAnsi="Calibri" w:cs="Calibri"/>
                <w:color w:val="000000"/>
                <w:sz w:val="22"/>
                <w:szCs w:val="22"/>
              </w:rPr>
            </w:pPr>
          </w:p>
        </w:tc>
      </w:tr>
      <w:tr w14:paraId="39BA2CF2">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A8B71D">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4656C6">
            <w:pPr>
              <w:widowControl/>
              <w:jc w:val="left"/>
              <w:textAlignment w:val="center"/>
              <w:rPr>
                <w:rFonts w:ascii="Calibri" w:hAnsi="Calibri" w:cs="Calibri"/>
                <w:color w:val="000000"/>
                <w:sz w:val="22"/>
                <w:szCs w:val="22"/>
              </w:rPr>
            </w:pPr>
            <w:r>
              <w:rPr>
                <w:rFonts w:ascii="Calibri" w:hAnsi="Calibri" w:cs="Calibri"/>
                <w:color w:val="000000"/>
                <w:kern w:val="0"/>
                <w:sz w:val="22"/>
                <w:szCs w:val="22"/>
              </w:rPr>
              <w:t>职工基本医疗保险缴费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B09456">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12.91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F7C625">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12.91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CFE13">
            <w:pPr>
              <w:rPr>
                <w:rFonts w:ascii="Calibri" w:hAnsi="Calibri" w:cs="Calibri"/>
                <w:color w:val="000000"/>
                <w:sz w:val="22"/>
                <w:szCs w:val="22"/>
              </w:rPr>
            </w:pPr>
          </w:p>
        </w:tc>
      </w:tr>
      <w:tr w14:paraId="7F619365">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EA4087">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30112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44A141">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其他社会保障缴费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8F102">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0.40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34D45">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0.40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11BD6D">
            <w:pPr>
              <w:rPr>
                <w:rFonts w:ascii="Calibri" w:hAnsi="Calibri" w:cs="Calibri"/>
                <w:color w:val="000000"/>
                <w:sz w:val="22"/>
                <w:szCs w:val="22"/>
              </w:rPr>
            </w:pPr>
          </w:p>
        </w:tc>
      </w:tr>
      <w:tr w14:paraId="7A0C3C50">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021220">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30113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DF9361">
            <w:pPr>
              <w:widowControl/>
              <w:jc w:val="left"/>
              <w:textAlignment w:val="center"/>
              <w:rPr>
                <w:rFonts w:ascii="Calibri" w:hAnsi="Calibri" w:cs="Calibri"/>
                <w:color w:val="000000"/>
                <w:sz w:val="22"/>
                <w:szCs w:val="22"/>
              </w:rPr>
            </w:pPr>
            <w:r>
              <w:rPr>
                <w:rFonts w:ascii="Calibri" w:hAnsi="Calibri" w:cs="Calibri"/>
                <w:color w:val="000000"/>
                <w:kern w:val="0"/>
                <w:sz w:val="22"/>
                <w:szCs w:val="22"/>
              </w:rPr>
              <w:t>住房公积金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C5B0F5">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40.74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5E8E4">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40.74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752DF8">
            <w:pPr>
              <w:rPr>
                <w:rFonts w:ascii="Calibri" w:hAnsi="Calibri" w:cs="Calibri"/>
                <w:color w:val="000000"/>
                <w:sz w:val="22"/>
                <w:szCs w:val="22"/>
              </w:rPr>
            </w:pPr>
          </w:p>
        </w:tc>
      </w:tr>
      <w:tr w14:paraId="5B425489">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CC5B1C">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30114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33F9E">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医疗费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28E709">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14.77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CA21B4">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14.77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AF8DF3">
            <w:pPr>
              <w:rPr>
                <w:rFonts w:ascii="Calibri" w:hAnsi="Calibri" w:cs="Calibri"/>
                <w:color w:val="000000"/>
                <w:sz w:val="22"/>
                <w:szCs w:val="22"/>
              </w:rPr>
            </w:pPr>
          </w:p>
        </w:tc>
      </w:tr>
      <w:tr w14:paraId="6C4C6725">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C13AE5">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8E43C8">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商品和服务支出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544F1C">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55.07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955747">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0.10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5177B">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54.97</w:t>
            </w:r>
          </w:p>
        </w:tc>
      </w:tr>
      <w:tr w14:paraId="37506970">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C41DDC">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30202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B341C">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印刷费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981865">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0A0FC9">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AD5636">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2.00</w:t>
            </w:r>
          </w:p>
        </w:tc>
      </w:tr>
      <w:tr w14:paraId="246A478C">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D51C39A">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30204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869847">
            <w:pPr>
              <w:widowControl/>
              <w:jc w:val="left"/>
              <w:textAlignment w:val="center"/>
              <w:rPr>
                <w:rFonts w:ascii="Calibri" w:hAnsi="Calibri" w:cs="Calibri"/>
                <w:color w:val="000000"/>
                <w:sz w:val="22"/>
                <w:szCs w:val="22"/>
              </w:rPr>
            </w:pPr>
            <w:r>
              <w:rPr>
                <w:rFonts w:ascii="Calibri" w:hAnsi="Calibri" w:cs="Calibri"/>
                <w:color w:val="000000"/>
                <w:kern w:val="0"/>
                <w:sz w:val="22"/>
                <w:szCs w:val="22"/>
              </w:rPr>
              <w:t>手续费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138207">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3.40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F10AD8">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EB20A0">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3.40</w:t>
            </w:r>
          </w:p>
        </w:tc>
      </w:tr>
      <w:tr w14:paraId="6B5A917C">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B8FF14">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30205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C6D203">
            <w:pPr>
              <w:widowControl/>
              <w:jc w:val="left"/>
              <w:textAlignment w:val="center"/>
              <w:rPr>
                <w:rFonts w:ascii="Calibri" w:hAnsi="Calibri" w:cs="Calibri"/>
                <w:color w:val="000000"/>
                <w:sz w:val="22"/>
                <w:szCs w:val="22"/>
              </w:rPr>
            </w:pPr>
            <w:r>
              <w:rPr>
                <w:rFonts w:ascii="Calibri" w:hAnsi="Calibri" w:cs="Calibri"/>
                <w:color w:val="000000"/>
                <w:kern w:val="0"/>
                <w:sz w:val="22"/>
                <w:szCs w:val="22"/>
              </w:rPr>
              <w:t>水费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2828E8">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0.50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94D8F">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C9EE77">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0.50</w:t>
            </w:r>
          </w:p>
        </w:tc>
      </w:tr>
      <w:tr w14:paraId="531A0D9B">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3079ECA">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30206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38C62F">
            <w:pPr>
              <w:widowControl/>
              <w:jc w:val="left"/>
              <w:textAlignment w:val="center"/>
              <w:rPr>
                <w:rFonts w:ascii="Calibri" w:hAnsi="Calibri" w:cs="Calibri"/>
                <w:color w:val="000000"/>
                <w:sz w:val="22"/>
                <w:szCs w:val="22"/>
              </w:rPr>
            </w:pPr>
            <w:r>
              <w:rPr>
                <w:rFonts w:ascii="Calibri" w:hAnsi="Calibri" w:cs="Calibri"/>
                <w:color w:val="000000"/>
                <w:kern w:val="0"/>
                <w:sz w:val="22"/>
                <w:szCs w:val="22"/>
              </w:rPr>
              <w:t>电费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CBE8B">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0.50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C8736B">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F6B780">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0.50</w:t>
            </w:r>
          </w:p>
        </w:tc>
      </w:tr>
      <w:tr w14:paraId="37217ABD">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E74441">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30207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3C2B3C">
            <w:pPr>
              <w:widowControl/>
              <w:jc w:val="left"/>
              <w:textAlignment w:val="center"/>
              <w:rPr>
                <w:rFonts w:ascii="Calibri" w:hAnsi="Calibri" w:cs="Calibri"/>
                <w:color w:val="000000"/>
                <w:sz w:val="22"/>
                <w:szCs w:val="22"/>
              </w:rPr>
            </w:pPr>
            <w:r>
              <w:rPr>
                <w:rFonts w:ascii="Calibri" w:hAnsi="Calibri" w:cs="Calibri"/>
                <w:color w:val="000000"/>
                <w:kern w:val="0"/>
                <w:sz w:val="22"/>
                <w:szCs w:val="22"/>
              </w:rPr>
              <w:t>邮电费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E1B9D7">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E08CC">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82549">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4.80</w:t>
            </w:r>
          </w:p>
        </w:tc>
      </w:tr>
      <w:tr w14:paraId="360E3779">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EB4196">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30211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7A9561">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差旅费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1DD3F">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804F4">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798077">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5.00</w:t>
            </w:r>
          </w:p>
        </w:tc>
      </w:tr>
      <w:tr w14:paraId="75E44563">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C93FD7">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30213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41273">
            <w:pPr>
              <w:widowControl/>
              <w:jc w:val="left"/>
              <w:textAlignment w:val="center"/>
              <w:rPr>
                <w:rFonts w:ascii="Calibri" w:hAnsi="Calibri" w:cs="Calibri"/>
                <w:color w:val="000000"/>
                <w:sz w:val="22"/>
                <w:szCs w:val="22"/>
              </w:rPr>
            </w:pPr>
            <w:r>
              <w:rPr>
                <w:rFonts w:ascii="Calibri" w:hAnsi="Calibri" w:cs="Calibri"/>
                <w:color w:val="000000"/>
                <w:kern w:val="0"/>
                <w:sz w:val="22"/>
                <w:szCs w:val="22"/>
              </w:rPr>
              <w:t>维修（护）费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622F78">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0.50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BD9E7A">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D08B69">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0.50</w:t>
            </w:r>
          </w:p>
        </w:tc>
      </w:tr>
      <w:tr w14:paraId="734C4B1B">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E2A151">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30217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94DFE">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公务接待费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89DF0">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0.44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79AC7D">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AE6568">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0.44</w:t>
            </w:r>
          </w:p>
        </w:tc>
      </w:tr>
      <w:tr w14:paraId="5039427F">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B1DE2C">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30228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AF8348">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工会经费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C2571D">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0EDE4">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F7993">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4.04</w:t>
            </w:r>
          </w:p>
        </w:tc>
      </w:tr>
      <w:tr w14:paraId="47BC4146">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D234A5">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30229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741EE">
            <w:pPr>
              <w:widowControl/>
              <w:jc w:val="left"/>
              <w:textAlignment w:val="center"/>
              <w:rPr>
                <w:rFonts w:ascii="Calibri" w:hAnsi="Calibri" w:cs="Calibri"/>
                <w:color w:val="000000"/>
                <w:sz w:val="22"/>
                <w:szCs w:val="22"/>
              </w:rPr>
            </w:pPr>
            <w:r>
              <w:rPr>
                <w:rFonts w:ascii="Calibri" w:hAnsi="Calibri" w:cs="Calibri"/>
                <w:color w:val="000000"/>
                <w:kern w:val="0"/>
                <w:sz w:val="22"/>
                <w:szCs w:val="22"/>
              </w:rPr>
              <w:t>福利费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1C8C48">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76D429">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B3A06C">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4.75</w:t>
            </w:r>
          </w:p>
        </w:tc>
      </w:tr>
      <w:tr w14:paraId="1A7767D4">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38A34E">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30239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EDB5D9">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其他交通费用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62D1B6">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22.86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F97A3">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A69C7A">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22.86</w:t>
            </w:r>
          </w:p>
        </w:tc>
      </w:tr>
      <w:tr w14:paraId="1016E6A2">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A4AEF0">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30299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4D3474">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其他商品和服务支出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B90D7">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6.28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5E6F57">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0.10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834130">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6.18</w:t>
            </w:r>
          </w:p>
        </w:tc>
      </w:tr>
      <w:tr w14:paraId="2329EF0E">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257965">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036109">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对个人和家庭的补助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A267C">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123.62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FD3877">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123.62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070C9B">
            <w:pPr>
              <w:rPr>
                <w:rFonts w:ascii="Calibri" w:hAnsi="Calibri" w:cs="Calibri"/>
                <w:color w:val="000000"/>
                <w:sz w:val="22"/>
                <w:szCs w:val="22"/>
              </w:rPr>
            </w:pPr>
          </w:p>
        </w:tc>
      </w:tr>
      <w:tr w14:paraId="7FB60109">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E871A0">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30301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591E29">
            <w:pPr>
              <w:widowControl/>
              <w:jc w:val="left"/>
              <w:textAlignment w:val="center"/>
              <w:rPr>
                <w:rFonts w:ascii="Calibri" w:hAnsi="Calibri" w:cs="Calibri"/>
                <w:color w:val="000000"/>
                <w:sz w:val="22"/>
                <w:szCs w:val="22"/>
              </w:rPr>
            </w:pPr>
            <w:r>
              <w:rPr>
                <w:rFonts w:ascii="Calibri" w:hAnsi="Calibri" w:cs="Calibri"/>
                <w:color w:val="000000"/>
                <w:kern w:val="0"/>
                <w:sz w:val="22"/>
                <w:szCs w:val="22"/>
              </w:rPr>
              <w:t>离休费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A1A34B">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17.19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DD59DC">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17.19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F1AFC">
            <w:pPr>
              <w:rPr>
                <w:rFonts w:ascii="Calibri" w:hAnsi="Calibri" w:cs="Calibri"/>
                <w:color w:val="000000"/>
                <w:sz w:val="22"/>
                <w:szCs w:val="22"/>
              </w:rPr>
            </w:pPr>
          </w:p>
        </w:tc>
      </w:tr>
      <w:tr w14:paraId="272C2C2E">
        <w:tblPrEx>
          <w:tblCellMar>
            <w:top w:w="0" w:type="dxa"/>
            <w:left w:w="108" w:type="dxa"/>
            <w:bottom w:w="0" w:type="dxa"/>
            <w:right w:w="108" w:type="dxa"/>
          </w:tblCellMar>
        </w:tblPrEx>
        <w:trPr>
          <w:trHeight w:val="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820941">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30302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D778CF">
            <w:pPr>
              <w:widowControl/>
              <w:jc w:val="left"/>
              <w:textAlignment w:val="center"/>
              <w:rPr>
                <w:rFonts w:ascii="Calibri" w:hAnsi="Calibri" w:cs="Calibri"/>
                <w:color w:val="000000"/>
                <w:sz w:val="22"/>
                <w:szCs w:val="22"/>
              </w:rPr>
            </w:pPr>
            <w:r>
              <w:rPr>
                <w:rFonts w:ascii="Calibri" w:hAnsi="Calibri" w:cs="Calibri"/>
                <w:color w:val="000000"/>
                <w:kern w:val="0"/>
                <w:sz w:val="22"/>
                <w:szCs w:val="22"/>
              </w:rPr>
              <w:t>退休费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A8DD2B">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106.40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BC1DDB">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106.40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E574E8">
            <w:pPr>
              <w:rPr>
                <w:rFonts w:ascii="Calibri" w:hAnsi="Calibri" w:cs="Calibri"/>
                <w:color w:val="000000"/>
                <w:sz w:val="22"/>
                <w:szCs w:val="22"/>
              </w:rPr>
            </w:pPr>
          </w:p>
        </w:tc>
      </w:tr>
      <w:tr w14:paraId="6E41FFB5">
        <w:tblPrEx>
          <w:tblCellMar>
            <w:top w:w="0" w:type="dxa"/>
            <w:left w:w="108" w:type="dxa"/>
            <w:bottom w:w="0" w:type="dxa"/>
            <w:right w:w="108" w:type="dxa"/>
          </w:tblCellMar>
        </w:tblPrEx>
        <w:trPr>
          <w:trHeight w:val="51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5231CB">
            <w:pPr>
              <w:widowControl/>
              <w:jc w:val="left"/>
              <w:textAlignment w:val="center"/>
              <w:rPr>
                <w:rFonts w:ascii="Calibri" w:hAnsi="Calibri" w:cs="Calibri"/>
                <w:color w:val="000000"/>
                <w:sz w:val="22"/>
                <w:szCs w:val="22"/>
              </w:rPr>
            </w:pPr>
            <w:r>
              <w:rPr>
                <w:rFonts w:ascii="Calibri" w:hAnsi="Calibri" w:cs="Calibri"/>
                <w:color w:val="000000"/>
                <w:kern w:val="0"/>
                <w:sz w:val="22"/>
                <w:szCs w:val="22"/>
              </w:rPr>
              <w:t>30309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A2778">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奖励金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29631A">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0.02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54A69C">
            <w:pPr>
              <w:widowControl/>
              <w:jc w:val="right"/>
              <w:textAlignment w:val="center"/>
              <w:rPr>
                <w:rFonts w:ascii="Calibri" w:hAnsi="Calibri" w:cs="Calibri"/>
                <w:color w:val="000000"/>
                <w:sz w:val="22"/>
                <w:szCs w:val="22"/>
              </w:rPr>
            </w:pPr>
            <w:r>
              <w:rPr>
                <w:rFonts w:ascii="Calibri" w:hAnsi="Calibri" w:cs="Calibri"/>
                <w:color w:val="000000"/>
                <w:kern w:val="0"/>
                <w:sz w:val="22"/>
                <w:szCs w:val="22"/>
              </w:rPr>
              <w:t>0.02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D001F4">
            <w:pPr>
              <w:rPr>
                <w:rFonts w:ascii="Calibri" w:hAnsi="Calibri" w:cs="Calibri"/>
                <w:color w:val="000000"/>
                <w:sz w:val="22"/>
                <w:szCs w:val="22"/>
              </w:rPr>
            </w:pPr>
          </w:p>
        </w:tc>
      </w:tr>
    </w:tbl>
    <w:p w14:paraId="00C6B919">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5ACBD987">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0057A040">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33E93191">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300829A8">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4F39CEC9">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3D4BBFBC">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242BEBF3">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4B328985">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684EE9AA">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70B2F460">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072DE001">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1608D43B">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53C08101">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37998EE8">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38E54201">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tbl>
      <w:tblPr>
        <w:tblStyle w:val="10"/>
        <w:tblW w:w="9377" w:type="dxa"/>
        <w:tblInd w:w="93" w:type="dxa"/>
        <w:tblLayout w:type="autofit"/>
        <w:tblCellMar>
          <w:top w:w="0" w:type="dxa"/>
          <w:left w:w="108" w:type="dxa"/>
          <w:bottom w:w="0" w:type="dxa"/>
          <w:right w:w="108" w:type="dxa"/>
        </w:tblCellMar>
      </w:tblPr>
      <w:tblGrid>
        <w:gridCol w:w="1582"/>
        <w:gridCol w:w="3236"/>
        <w:gridCol w:w="1592"/>
        <w:gridCol w:w="1414"/>
        <w:gridCol w:w="1553"/>
      </w:tblGrid>
      <w:tr w14:paraId="6601833F">
        <w:tblPrEx>
          <w:tblCellMar>
            <w:top w:w="0" w:type="dxa"/>
            <w:left w:w="108" w:type="dxa"/>
            <w:bottom w:w="0" w:type="dxa"/>
            <w:right w:w="108" w:type="dxa"/>
          </w:tblCellMar>
        </w:tblPrEx>
        <w:trPr>
          <w:trHeight w:val="398" w:hRule="atLeast"/>
        </w:trPr>
        <w:tc>
          <w:tcPr>
            <w:tcW w:w="1582" w:type="dxa"/>
            <w:tcBorders>
              <w:top w:val="nil"/>
              <w:left w:val="nil"/>
              <w:bottom w:val="nil"/>
              <w:right w:val="nil"/>
            </w:tcBorders>
            <w:noWrap/>
            <w:vAlign w:val="bottom"/>
          </w:tcPr>
          <w:p w14:paraId="6D4A4F4E">
            <w:pPr>
              <w:rPr>
                <w:rFonts w:ascii="Arial" w:hAnsi="Arial" w:cs="Arial"/>
                <w:color w:val="000000"/>
                <w:sz w:val="20"/>
                <w:szCs w:val="20"/>
              </w:rPr>
            </w:pPr>
          </w:p>
        </w:tc>
        <w:tc>
          <w:tcPr>
            <w:tcW w:w="3236" w:type="dxa"/>
            <w:tcBorders>
              <w:top w:val="nil"/>
              <w:left w:val="nil"/>
              <w:bottom w:val="nil"/>
              <w:right w:val="nil"/>
            </w:tcBorders>
            <w:noWrap/>
            <w:vAlign w:val="bottom"/>
          </w:tcPr>
          <w:p w14:paraId="227A2733">
            <w:pPr>
              <w:rPr>
                <w:rFonts w:ascii="Arial" w:hAnsi="Arial" w:cs="Arial"/>
                <w:color w:val="000000"/>
                <w:sz w:val="20"/>
                <w:szCs w:val="20"/>
              </w:rPr>
            </w:pPr>
          </w:p>
        </w:tc>
        <w:tc>
          <w:tcPr>
            <w:tcW w:w="1592" w:type="dxa"/>
            <w:tcBorders>
              <w:top w:val="nil"/>
              <w:left w:val="nil"/>
              <w:bottom w:val="nil"/>
              <w:right w:val="nil"/>
            </w:tcBorders>
            <w:noWrap/>
            <w:vAlign w:val="bottom"/>
          </w:tcPr>
          <w:p w14:paraId="0280B68A">
            <w:pPr>
              <w:rPr>
                <w:rFonts w:ascii="Arial" w:hAnsi="Arial" w:cs="Arial"/>
                <w:color w:val="000000"/>
                <w:sz w:val="20"/>
                <w:szCs w:val="20"/>
              </w:rPr>
            </w:pPr>
          </w:p>
        </w:tc>
        <w:tc>
          <w:tcPr>
            <w:tcW w:w="2967" w:type="dxa"/>
            <w:gridSpan w:val="2"/>
            <w:tcBorders>
              <w:top w:val="nil"/>
              <w:left w:val="nil"/>
              <w:bottom w:val="nil"/>
              <w:right w:val="nil"/>
            </w:tcBorders>
            <w:noWrap/>
            <w:vAlign w:val="bottom"/>
          </w:tcPr>
          <w:p w14:paraId="759C8DA7">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部门（单位）公开表7</w:t>
            </w:r>
          </w:p>
        </w:tc>
      </w:tr>
      <w:tr w14:paraId="43EF35CB">
        <w:tblPrEx>
          <w:tblCellMar>
            <w:top w:w="0" w:type="dxa"/>
            <w:left w:w="108" w:type="dxa"/>
            <w:bottom w:w="0" w:type="dxa"/>
            <w:right w:w="108" w:type="dxa"/>
          </w:tblCellMar>
        </w:tblPrEx>
        <w:trPr>
          <w:trHeight w:val="796" w:hRule="atLeast"/>
        </w:trPr>
        <w:tc>
          <w:tcPr>
            <w:tcW w:w="0" w:type="auto"/>
            <w:gridSpan w:val="5"/>
            <w:tcBorders>
              <w:top w:val="nil"/>
              <w:left w:val="nil"/>
              <w:bottom w:val="nil"/>
              <w:right w:val="nil"/>
            </w:tcBorders>
            <w:noWrap/>
            <w:vAlign w:val="center"/>
          </w:tcPr>
          <w:p w14:paraId="2BD60768">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rPr>
              <w:t>表七、2024年政府性基金预算支出表</w:t>
            </w:r>
          </w:p>
        </w:tc>
      </w:tr>
      <w:tr w14:paraId="00A8996A">
        <w:tblPrEx>
          <w:tblCellMar>
            <w:top w:w="0" w:type="dxa"/>
            <w:left w:w="108" w:type="dxa"/>
            <w:bottom w:w="0" w:type="dxa"/>
            <w:right w:w="108" w:type="dxa"/>
          </w:tblCellMar>
        </w:tblPrEx>
        <w:trPr>
          <w:trHeight w:val="331" w:hRule="atLeast"/>
        </w:trPr>
        <w:tc>
          <w:tcPr>
            <w:tcW w:w="0" w:type="auto"/>
            <w:gridSpan w:val="3"/>
            <w:tcBorders>
              <w:top w:val="nil"/>
              <w:left w:val="nil"/>
              <w:bottom w:val="nil"/>
              <w:right w:val="nil"/>
            </w:tcBorders>
            <w:noWrap/>
            <w:vAlign w:val="center"/>
          </w:tcPr>
          <w:p w14:paraId="5BB43B6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[077]黄山市经济和信息化局 </w:t>
            </w:r>
          </w:p>
        </w:tc>
        <w:tc>
          <w:tcPr>
            <w:tcW w:w="0" w:type="auto"/>
            <w:tcBorders>
              <w:top w:val="nil"/>
              <w:left w:val="nil"/>
              <w:bottom w:val="nil"/>
              <w:right w:val="nil"/>
            </w:tcBorders>
            <w:noWrap/>
            <w:vAlign w:val="center"/>
          </w:tcPr>
          <w:p w14:paraId="067F006B">
            <w:pPr>
              <w:rPr>
                <w:rFonts w:ascii="宋体" w:hAnsi="宋体" w:cs="宋体"/>
                <w:color w:val="000000"/>
                <w:sz w:val="18"/>
                <w:szCs w:val="18"/>
              </w:rPr>
            </w:pPr>
          </w:p>
        </w:tc>
        <w:tc>
          <w:tcPr>
            <w:tcW w:w="0" w:type="auto"/>
            <w:tcBorders>
              <w:top w:val="nil"/>
              <w:left w:val="nil"/>
              <w:bottom w:val="nil"/>
              <w:right w:val="nil"/>
            </w:tcBorders>
            <w:noWrap/>
            <w:vAlign w:val="center"/>
          </w:tcPr>
          <w:p w14:paraId="22B88D61">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单位：万元</w:t>
            </w:r>
          </w:p>
        </w:tc>
      </w:tr>
      <w:tr w14:paraId="06795599">
        <w:tblPrEx>
          <w:tblCellMar>
            <w:top w:w="0" w:type="dxa"/>
            <w:left w:w="108" w:type="dxa"/>
            <w:bottom w:w="0" w:type="dxa"/>
            <w:right w:w="108" w:type="dxa"/>
          </w:tblCellMar>
        </w:tblPrEx>
        <w:trPr>
          <w:trHeight w:val="568"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6F41D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功能科目编码</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9FFD2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功能科目名称</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6D9652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政府性基金财政拨款支出</w:t>
            </w:r>
          </w:p>
        </w:tc>
      </w:tr>
      <w:tr w14:paraId="7900AFCE">
        <w:tblPrEx>
          <w:tblCellMar>
            <w:top w:w="0" w:type="dxa"/>
            <w:left w:w="108" w:type="dxa"/>
            <w:bottom w:w="0" w:type="dxa"/>
            <w:right w:w="108" w:type="dxa"/>
          </w:tblCellMar>
        </w:tblPrEx>
        <w:trPr>
          <w:trHeight w:val="56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FE894BE">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36751E3">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3BD7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878F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613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r>
      <w:tr w14:paraId="5AD51334">
        <w:tblPrEx>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1E60BA42">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DF0CF3F">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7D839BF">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DEBC2A3">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96B9CE5">
            <w:pPr>
              <w:rPr>
                <w:rFonts w:ascii="Calibri" w:hAnsi="Calibri" w:cs="Calibri"/>
                <w:color w:val="000000"/>
                <w:sz w:val="22"/>
                <w:szCs w:val="22"/>
              </w:rPr>
            </w:pPr>
          </w:p>
        </w:tc>
      </w:tr>
      <w:tr w14:paraId="092384F1">
        <w:tblPrEx>
          <w:tblCellMar>
            <w:top w:w="0" w:type="dxa"/>
            <w:left w:w="108" w:type="dxa"/>
            <w:bottom w:w="0" w:type="dxa"/>
            <w:right w:w="108" w:type="dxa"/>
          </w:tblCellMar>
        </w:tblPrEx>
        <w:trPr>
          <w:trHeight w:val="578"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1CB843CB">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C353493">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1C3297B">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1B86E88">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06A5781">
            <w:pPr>
              <w:rPr>
                <w:rFonts w:ascii="Calibri" w:hAnsi="Calibri" w:cs="Calibri"/>
                <w:color w:val="000000"/>
                <w:sz w:val="22"/>
                <w:szCs w:val="22"/>
              </w:rPr>
            </w:pPr>
          </w:p>
        </w:tc>
      </w:tr>
    </w:tbl>
    <w:p w14:paraId="767F4DC0">
      <w:pPr>
        <w:pStyle w:val="17"/>
        <w:ind w:firstLine="0" w:firstLineChars="0"/>
        <w:jc w:val="left"/>
        <w:rPr>
          <w:sz w:val="24"/>
          <w:szCs w:val="24"/>
        </w:rPr>
      </w:pPr>
      <w:r>
        <w:rPr>
          <w:rFonts w:hint="eastAsia"/>
          <w:sz w:val="24"/>
          <w:szCs w:val="24"/>
        </w:rPr>
        <w:t>注：黄山市经济和信息化局没有政府性基金预算拨款收入，也没有政府性基金预算拨款安排的支出，故本表无数据。</w:t>
      </w:r>
    </w:p>
    <w:p w14:paraId="079BCCAC">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771E0A10">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51BC9B5C">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2E0C365A">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51553B6F">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2DAA882B">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63512F7C">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55894B4C">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3860DB69">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6F48EAE2">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756AEB99">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008E6D53">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30E03723">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3D4D4189">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14F031C7">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tbl>
      <w:tblPr>
        <w:tblStyle w:val="10"/>
        <w:tblW w:w="9138" w:type="dxa"/>
        <w:tblInd w:w="93" w:type="dxa"/>
        <w:tblLayout w:type="autofit"/>
        <w:tblCellMar>
          <w:top w:w="0" w:type="dxa"/>
          <w:left w:w="108" w:type="dxa"/>
          <w:bottom w:w="0" w:type="dxa"/>
          <w:right w:w="108" w:type="dxa"/>
        </w:tblCellMar>
      </w:tblPr>
      <w:tblGrid>
        <w:gridCol w:w="1481"/>
        <w:gridCol w:w="3083"/>
        <w:gridCol w:w="1591"/>
        <w:gridCol w:w="1422"/>
        <w:gridCol w:w="1561"/>
      </w:tblGrid>
      <w:tr w14:paraId="395554EF">
        <w:tblPrEx>
          <w:tblCellMar>
            <w:top w:w="0" w:type="dxa"/>
            <w:left w:w="108" w:type="dxa"/>
            <w:bottom w:w="0" w:type="dxa"/>
            <w:right w:w="108" w:type="dxa"/>
          </w:tblCellMar>
        </w:tblPrEx>
        <w:trPr>
          <w:trHeight w:val="381" w:hRule="atLeast"/>
        </w:trPr>
        <w:tc>
          <w:tcPr>
            <w:tcW w:w="1481" w:type="dxa"/>
            <w:tcBorders>
              <w:top w:val="nil"/>
              <w:left w:val="nil"/>
              <w:bottom w:val="nil"/>
              <w:right w:val="nil"/>
            </w:tcBorders>
            <w:noWrap/>
            <w:vAlign w:val="bottom"/>
          </w:tcPr>
          <w:p w14:paraId="22B919AD">
            <w:pPr>
              <w:rPr>
                <w:rFonts w:ascii="Arial" w:hAnsi="Arial" w:cs="Arial"/>
                <w:color w:val="000000"/>
                <w:sz w:val="20"/>
                <w:szCs w:val="20"/>
              </w:rPr>
            </w:pPr>
          </w:p>
        </w:tc>
        <w:tc>
          <w:tcPr>
            <w:tcW w:w="3083" w:type="dxa"/>
            <w:tcBorders>
              <w:top w:val="nil"/>
              <w:left w:val="nil"/>
              <w:bottom w:val="nil"/>
              <w:right w:val="nil"/>
            </w:tcBorders>
            <w:noWrap/>
            <w:vAlign w:val="bottom"/>
          </w:tcPr>
          <w:p w14:paraId="2E51C363">
            <w:pPr>
              <w:rPr>
                <w:rFonts w:ascii="Arial" w:hAnsi="Arial" w:cs="Arial"/>
                <w:color w:val="000000"/>
                <w:sz w:val="20"/>
                <w:szCs w:val="20"/>
              </w:rPr>
            </w:pPr>
          </w:p>
        </w:tc>
        <w:tc>
          <w:tcPr>
            <w:tcW w:w="1591" w:type="dxa"/>
            <w:tcBorders>
              <w:top w:val="nil"/>
              <w:left w:val="nil"/>
              <w:bottom w:val="nil"/>
              <w:right w:val="nil"/>
            </w:tcBorders>
            <w:noWrap/>
            <w:vAlign w:val="bottom"/>
          </w:tcPr>
          <w:p w14:paraId="1A3C3AA9">
            <w:pPr>
              <w:rPr>
                <w:rFonts w:ascii="Arial" w:hAnsi="Arial" w:cs="Arial"/>
                <w:color w:val="000000"/>
                <w:sz w:val="20"/>
                <w:szCs w:val="20"/>
              </w:rPr>
            </w:pPr>
          </w:p>
        </w:tc>
        <w:tc>
          <w:tcPr>
            <w:tcW w:w="2983" w:type="dxa"/>
            <w:gridSpan w:val="2"/>
            <w:tcBorders>
              <w:top w:val="nil"/>
              <w:left w:val="nil"/>
              <w:bottom w:val="nil"/>
              <w:right w:val="nil"/>
            </w:tcBorders>
            <w:noWrap/>
            <w:vAlign w:val="bottom"/>
          </w:tcPr>
          <w:p w14:paraId="24AA0B8E">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部门（单位）公开表8</w:t>
            </w:r>
          </w:p>
        </w:tc>
      </w:tr>
      <w:tr w14:paraId="42110A1C">
        <w:tblPrEx>
          <w:tblCellMar>
            <w:top w:w="0" w:type="dxa"/>
            <w:left w:w="108" w:type="dxa"/>
            <w:bottom w:w="0" w:type="dxa"/>
            <w:right w:w="108" w:type="dxa"/>
          </w:tblCellMar>
        </w:tblPrEx>
        <w:trPr>
          <w:trHeight w:val="762" w:hRule="atLeast"/>
        </w:trPr>
        <w:tc>
          <w:tcPr>
            <w:tcW w:w="0" w:type="auto"/>
            <w:gridSpan w:val="5"/>
            <w:tcBorders>
              <w:top w:val="nil"/>
              <w:left w:val="nil"/>
              <w:bottom w:val="nil"/>
              <w:right w:val="nil"/>
            </w:tcBorders>
            <w:noWrap/>
            <w:vAlign w:val="center"/>
          </w:tcPr>
          <w:p w14:paraId="471A7579">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rPr>
              <w:t>表八、2024年国有资本经营预算支出表</w:t>
            </w:r>
          </w:p>
        </w:tc>
      </w:tr>
      <w:tr w14:paraId="1F007CBA">
        <w:tblPrEx>
          <w:tblCellMar>
            <w:top w:w="0" w:type="dxa"/>
            <w:left w:w="108" w:type="dxa"/>
            <w:bottom w:w="0" w:type="dxa"/>
            <w:right w:w="108" w:type="dxa"/>
          </w:tblCellMar>
        </w:tblPrEx>
        <w:trPr>
          <w:trHeight w:val="317" w:hRule="atLeast"/>
        </w:trPr>
        <w:tc>
          <w:tcPr>
            <w:tcW w:w="0" w:type="auto"/>
            <w:gridSpan w:val="3"/>
            <w:tcBorders>
              <w:top w:val="nil"/>
              <w:left w:val="nil"/>
              <w:bottom w:val="nil"/>
              <w:right w:val="nil"/>
            </w:tcBorders>
            <w:noWrap/>
            <w:vAlign w:val="center"/>
          </w:tcPr>
          <w:p w14:paraId="4F1BD84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[077]黄山市经济和信息化局 </w:t>
            </w:r>
          </w:p>
        </w:tc>
        <w:tc>
          <w:tcPr>
            <w:tcW w:w="0" w:type="auto"/>
            <w:tcBorders>
              <w:top w:val="nil"/>
              <w:left w:val="nil"/>
              <w:bottom w:val="nil"/>
              <w:right w:val="nil"/>
            </w:tcBorders>
            <w:noWrap/>
            <w:vAlign w:val="center"/>
          </w:tcPr>
          <w:p w14:paraId="5689CE0D">
            <w:pPr>
              <w:rPr>
                <w:rFonts w:ascii="Calibri" w:hAnsi="Calibri" w:cs="Calibri"/>
                <w:color w:val="000000"/>
                <w:sz w:val="18"/>
                <w:szCs w:val="18"/>
              </w:rPr>
            </w:pPr>
          </w:p>
        </w:tc>
        <w:tc>
          <w:tcPr>
            <w:tcW w:w="0" w:type="auto"/>
            <w:tcBorders>
              <w:top w:val="nil"/>
              <w:left w:val="nil"/>
              <w:bottom w:val="nil"/>
              <w:right w:val="nil"/>
            </w:tcBorders>
            <w:noWrap/>
            <w:vAlign w:val="center"/>
          </w:tcPr>
          <w:p w14:paraId="144A40C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单位：万元</w:t>
            </w:r>
          </w:p>
        </w:tc>
      </w:tr>
      <w:tr w14:paraId="3D28A352">
        <w:tblPrEx>
          <w:tblCellMar>
            <w:top w:w="0" w:type="dxa"/>
            <w:left w:w="108" w:type="dxa"/>
            <w:bottom w:w="0" w:type="dxa"/>
            <w:right w:w="108" w:type="dxa"/>
          </w:tblCellMar>
        </w:tblPrEx>
        <w:trPr>
          <w:trHeight w:val="543"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890BF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功能科目编码</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3192C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功能科目名称</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3332C2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国有资本经营预算财政拨款支出</w:t>
            </w:r>
          </w:p>
        </w:tc>
      </w:tr>
      <w:tr w14:paraId="5B0FA3C6">
        <w:tblPrEx>
          <w:tblCellMar>
            <w:top w:w="0" w:type="dxa"/>
            <w:left w:w="108" w:type="dxa"/>
            <w:bottom w:w="0" w:type="dxa"/>
            <w:right w:w="108" w:type="dxa"/>
          </w:tblCellMar>
        </w:tblPrEx>
        <w:trPr>
          <w:trHeight w:val="54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F2025D7">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8EDF5B8">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62A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4382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45F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r>
      <w:tr w14:paraId="01DEBD11">
        <w:tblPrEx>
          <w:tblCellMar>
            <w:top w:w="0" w:type="dxa"/>
            <w:left w:w="108" w:type="dxa"/>
            <w:bottom w:w="0" w:type="dxa"/>
            <w:right w:w="108" w:type="dxa"/>
          </w:tblCellMar>
        </w:tblPrEx>
        <w:trPr>
          <w:trHeight w:val="543"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13E892D0">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66C0D41">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61D956C">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914FE95">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61FEF10">
            <w:pPr>
              <w:rPr>
                <w:rFonts w:ascii="Calibri" w:hAnsi="Calibri" w:cs="Calibri"/>
                <w:color w:val="000000"/>
                <w:sz w:val="22"/>
                <w:szCs w:val="22"/>
              </w:rPr>
            </w:pPr>
          </w:p>
        </w:tc>
      </w:tr>
      <w:tr w14:paraId="237F577F">
        <w:tblPrEx>
          <w:tblCellMar>
            <w:top w:w="0" w:type="dxa"/>
            <w:left w:w="108" w:type="dxa"/>
            <w:bottom w:w="0" w:type="dxa"/>
            <w:right w:w="108" w:type="dxa"/>
          </w:tblCellMar>
        </w:tblPrEx>
        <w:trPr>
          <w:trHeight w:val="553"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1058B64E">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04D86B8">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A40D7E1">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BA22042">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0582B6F">
            <w:pPr>
              <w:rPr>
                <w:rFonts w:ascii="Calibri" w:hAnsi="Calibri" w:cs="Calibri"/>
                <w:color w:val="000000"/>
                <w:sz w:val="22"/>
                <w:szCs w:val="22"/>
              </w:rPr>
            </w:pPr>
          </w:p>
        </w:tc>
      </w:tr>
    </w:tbl>
    <w:p w14:paraId="0E547BF8">
      <w:pPr>
        <w:pStyle w:val="17"/>
        <w:ind w:firstLine="0" w:firstLineChars="0"/>
        <w:jc w:val="left"/>
        <w:rPr>
          <w:sz w:val="24"/>
          <w:szCs w:val="24"/>
        </w:rPr>
      </w:pPr>
      <w:r>
        <w:rPr>
          <w:rFonts w:hint="eastAsia"/>
          <w:sz w:val="24"/>
          <w:szCs w:val="24"/>
        </w:rPr>
        <w:t>注：黄山市经济和信息化局没有国有资本经营预算拨款收入，也没有国有资本经营预算拨款安排的支出，故本表无数据。</w:t>
      </w:r>
    </w:p>
    <w:p w14:paraId="26D1BF46">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172BD531">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5D0DEB7A">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54F87EEC">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6AF42487">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6839DF67">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66623F30">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4ACB5B54">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48586B5E">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4B43D36C">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3753458A">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5B21B677">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484F693F">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02F8ADCD">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tbl>
      <w:tblPr>
        <w:tblStyle w:val="10"/>
        <w:tblW w:w="8999" w:type="dxa"/>
        <w:tblInd w:w="93" w:type="dxa"/>
        <w:tblLayout w:type="autofit"/>
        <w:tblCellMar>
          <w:top w:w="0" w:type="dxa"/>
          <w:left w:w="108" w:type="dxa"/>
          <w:bottom w:w="0" w:type="dxa"/>
          <w:right w:w="108" w:type="dxa"/>
        </w:tblCellMar>
      </w:tblPr>
      <w:tblGrid>
        <w:gridCol w:w="1704"/>
        <w:gridCol w:w="3318"/>
        <w:gridCol w:w="1907"/>
        <w:gridCol w:w="2070"/>
      </w:tblGrid>
      <w:tr w14:paraId="296C1F19">
        <w:tblPrEx>
          <w:tblCellMar>
            <w:top w:w="0" w:type="dxa"/>
            <w:left w:w="108" w:type="dxa"/>
            <w:bottom w:w="0" w:type="dxa"/>
            <w:right w:w="108" w:type="dxa"/>
          </w:tblCellMar>
        </w:tblPrEx>
        <w:trPr>
          <w:trHeight w:val="373" w:hRule="atLeast"/>
        </w:trPr>
        <w:tc>
          <w:tcPr>
            <w:tcW w:w="1704" w:type="dxa"/>
            <w:tcBorders>
              <w:top w:val="nil"/>
              <w:left w:val="nil"/>
              <w:bottom w:val="nil"/>
              <w:right w:val="nil"/>
            </w:tcBorders>
            <w:noWrap/>
            <w:vAlign w:val="bottom"/>
          </w:tcPr>
          <w:p w14:paraId="32D58ABC">
            <w:pPr>
              <w:rPr>
                <w:rFonts w:ascii="Arial" w:hAnsi="Arial" w:cs="Arial"/>
                <w:color w:val="000000"/>
                <w:sz w:val="20"/>
                <w:szCs w:val="20"/>
              </w:rPr>
            </w:pPr>
          </w:p>
        </w:tc>
        <w:tc>
          <w:tcPr>
            <w:tcW w:w="3318" w:type="dxa"/>
            <w:tcBorders>
              <w:top w:val="nil"/>
              <w:left w:val="nil"/>
              <w:bottom w:val="nil"/>
              <w:right w:val="nil"/>
            </w:tcBorders>
            <w:noWrap/>
            <w:vAlign w:val="bottom"/>
          </w:tcPr>
          <w:p w14:paraId="14923CDF">
            <w:pPr>
              <w:rPr>
                <w:rFonts w:ascii="Arial" w:hAnsi="Arial" w:cs="Arial"/>
                <w:color w:val="000000"/>
                <w:sz w:val="20"/>
                <w:szCs w:val="20"/>
              </w:rPr>
            </w:pPr>
          </w:p>
        </w:tc>
        <w:tc>
          <w:tcPr>
            <w:tcW w:w="1907" w:type="dxa"/>
            <w:tcBorders>
              <w:top w:val="nil"/>
              <w:left w:val="nil"/>
              <w:bottom w:val="nil"/>
              <w:right w:val="nil"/>
            </w:tcBorders>
            <w:noWrap/>
            <w:vAlign w:val="bottom"/>
          </w:tcPr>
          <w:p w14:paraId="08E44558">
            <w:pPr>
              <w:rPr>
                <w:rFonts w:ascii="Arial" w:hAnsi="Arial" w:cs="Arial"/>
                <w:color w:val="000000"/>
                <w:sz w:val="20"/>
                <w:szCs w:val="20"/>
              </w:rPr>
            </w:pPr>
          </w:p>
        </w:tc>
        <w:tc>
          <w:tcPr>
            <w:tcW w:w="2070" w:type="dxa"/>
            <w:tcBorders>
              <w:top w:val="nil"/>
              <w:left w:val="nil"/>
              <w:bottom w:val="nil"/>
              <w:right w:val="nil"/>
            </w:tcBorders>
            <w:noWrap/>
            <w:vAlign w:val="center"/>
          </w:tcPr>
          <w:p w14:paraId="13C0952C">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部门（单位）公开表9</w:t>
            </w:r>
          </w:p>
        </w:tc>
      </w:tr>
      <w:tr w14:paraId="0972CDD7">
        <w:tblPrEx>
          <w:tblCellMar>
            <w:top w:w="0" w:type="dxa"/>
            <w:left w:w="108" w:type="dxa"/>
            <w:bottom w:w="0" w:type="dxa"/>
            <w:right w:w="108" w:type="dxa"/>
          </w:tblCellMar>
        </w:tblPrEx>
        <w:trPr>
          <w:trHeight w:val="746" w:hRule="atLeast"/>
        </w:trPr>
        <w:tc>
          <w:tcPr>
            <w:tcW w:w="0" w:type="auto"/>
            <w:gridSpan w:val="4"/>
            <w:tcBorders>
              <w:top w:val="nil"/>
              <w:left w:val="nil"/>
              <w:bottom w:val="nil"/>
              <w:right w:val="nil"/>
            </w:tcBorders>
            <w:noWrap/>
            <w:vAlign w:val="center"/>
          </w:tcPr>
          <w:p w14:paraId="7D78D779">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rPr>
              <w:t>表九、2024年基本支出总表</w:t>
            </w:r>
          </w:p>
        </w:tc>
      </w:tr>
      <w:tr w14:paraId="3FAE60E4">
        <w:tblPrEx>
          <w:tblCellMar>
            <w:top w:w="0" w:type="dxa"/>
            <w:left w:w="108" w:type="dxa"/>
            <w:bottom w:w="0" w:type="dxa"/>
            <w:right w:w="108" w:type="dxa"/>
          </w:tblCellMar>
        </w:tblPrEx>
        <w:trPr>
          <w:trHeight w:val="311" w:hRule="atLeast"/>
        </w:trPr>
        <w:tc>
          <w:tcPr>
            <w:tcW w:w="0" w:type="auto"/>
            <w:gridSpan w:val="3"/>
            <w:tcBorders>
              <w:top w:val="nil"/>
              <w:left w:val="nil"/>
              <w:bottom w:val="nil"/>
              <w:right w:val="nil"/>
            </w:tcBorders>
            <w:noWrap/>
            <w:vAlign w:val="center"/>
          </w:tcPr>
          <w:p w14:paraId="40054CC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[077]黄山市经济和信息化局 </w:t>
            </w:r>
          </w:p>
        </w:tc>
        <w:tc>
          <w:tcPr>
            <w:tcW w:w="0" w:type="auto"/>
            <w:tcBorders>
              <w:top w:val="nil"/>
              <w:left w:val="nil"/>
              <w:bottom w:val="nil"/>
              <w:right w:val="nil"/>
            </w:tcBorders>
            <w:noWrap/>
            <w:vAlign w:val="center"/>
          </w:tcPr>
          <w:p w14:paraId="78012E3E">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单位：万元</w:t>
            </w:r>
          </w:p>
        </w:tc>
      </w:tr>
      <w:tr w14:paraId="3298EF9C">
        <w:tblPrEx>
          <w:tblCellMar>
            <w:top w:w="0" w:type="dxa"/>
            <w:left w:w="108" w:type="dxa"/>
            <w:bottom w:w="0" w:type="dxa"/>
            <w:right w:w="108" w:type="dxa"/>
          </w:tblCellMar>
        </w:tblPrEx>
        <w:trPr>
          <w:trHeight w:val="60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C7AA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经济科目编码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23D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经济科目名称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3963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5D73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其中：一般公共预算</w:t>
            </w:r>
          </w:p>
        </w:tc>
      </w:tr>
      <w:tr w14:paraId="577647D4">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3EFA0587">
            <w:pPr>
              <w:jc w:val="left"/>
              <w:rPr>
                <w:rFonts w:ascii="宋体" w:hAnsi="宋体" w:cs="宋体"/>
                <w:color w:val="000000"/>
                <w:sz w:val="18"/>
                <w:szCs w:val="18"/>
              </w:rPr>
            </w:pP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9F4494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22E42A7B">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675.91</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7AC1FDB">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675.91</w:t>
            </w:r>
          </w:p>
        </w:tc>
      </w:tr>
      <w:tr w14:paraId="0174DE8C">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5B60458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301</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9CD44B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工资福利支出</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7833966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497.22</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176DC50">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497.22</w:t>
            </w:r>
          </w:p>
        </w:tc>
      </w:tr>
      <w:tr w14:paraId="65DE53EC">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6297367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30101</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C94A8B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基本工资</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4D71AB8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201.79</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868A771">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201.79</w:t>
            </w:r>
          </w:p>
        </w:tc>
      </w:tr>
      <w:tr w14:paraId="5238EA65">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384D4F7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30102</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FE1E1D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津贴补贴</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6AE7092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114.88</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594F664">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114.88</w:t>
            </w:r>
          </w:p>
        </w:tc>
      </w:tr>
      <w:tr w14:paraId="5ECA12A7">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1BDDDA0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30103</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7E153B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奖金</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2511656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35.72</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1FCAF8B">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35.72</w:t>
            </w:r>
          </w:p>
        </w:tc>
      </w:tr>
      <w:tr w14:paraId="762288A3">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7A824D2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30108</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E3C5CE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机关事业单位基本养老保险缴费</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17FCB536">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50.67</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B12DDC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50.67</w:t>
            </w:r>
          </w:p>
        </w:tc>
      </w:tr>
      <w:tr w14:paraId="03625560">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0EEDA29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30109</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9CE0F5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职业年金缴费</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57E4FFF6">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25.33</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6BA42B8">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25.33</w:t>
            </w:r>
          </w:p>
        </w:tc>
      </w:tr>
      <w:tr w14:paraId="382DF37A">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2DB82D1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30110</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1D311C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职工基本医疗保险缴费</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79E3991D">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12.91</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3A92EC44">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12.91</w:t>
            </w:r>
          </w:p>
        </w:tc>
      </w:tr>
      <w:tr w14:paraId="2A2E6345">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0BF84EB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30112</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753BB5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其他社会保障缴费</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05ACDE1C">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0.40</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BF1B8A2">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0.40</w:t>
            </w:r>
          </w:p>
        </w:tc>
      </w:tr>
      <w:tr w14:paraId="5F64C93E">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09118D9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30113</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D4573F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住房公积金</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0A7AA2BB">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40.74</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676A8CE">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40.74</w:t>
            </w:r>
          </w:p>
        </w:tc>
      </w:tr>
      <w:tr w14:paraId="3328596C">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2580403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30114</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7C42C5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医疗费</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63A48E9E">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14.77</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18C1ED0">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14.77</w:t>
            </w:r>
          </w:p>
        </w:tc>
      </w:tr>
      <w:tr w14:paraId="1AA8453A">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3FFB5E8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E34EA7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商品和服务支出</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10C20027">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55.07</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A5A701E">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55.07</w:t>
            </w:r>
          </w:p>
        </w:tc>
      </w:tr>
      <w:tr w14:paraId="600DE0A2">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0FE086F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30202</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AF6AA9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印刷费</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62C4DDC2">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2.00</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BDCD27C">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2.00</w:t>
            </w:r>
          </w:p>
        </w:tc>
      </w:tr>
      <w:tr w14:paraId="6B10AA03">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1DBD0A0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30204</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A85402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手续费</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0A5830F3">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3.40</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340A60B">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3.40</w:t>
            </w:r>
          </w:p>
        </w:tc>
      </w:tr>
      <w:tr w14:paraId="1C327957">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7004249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30205</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7B30B8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水费</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464FCA22">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0.50</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41B4846">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0.50</w:t>
            </w:r>
          </w:p>
        </w:tc>
      </w:tr>
      <w:tr w14:paraId="4432B422">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7CDB733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30206</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70627D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电费</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3A536FD8">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0.50</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16B3866">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0.50</w:t>
            </w:r>
          </w:p>
        </w:tc>
      </w:tr>
      <w:tr w14:paraId="54100E3C">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382E3D8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30207</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CCAAB4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邮电费</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51DDECDF">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4.80</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5E5A833">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4.80</w:t>
            </w:r>
          </w:p>
        </w:tc>
      </w:tr>
      <w:tr w14:paraId="31CD7AC1">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6D65645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30211</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241105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差旅费</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420A54DC">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5.00</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3ACA8ACD">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5.00</w:t>
            </w:r>
          </w:p>
        </w:tc>
      </w:tr>
      <w:tr w14:paraId="75D1DE65">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6E0153B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30213</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9A69F0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维修（护）费</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107503A8">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0.50</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0DEA5B4">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0.50</w:t>
            </w:r>
          </w:p>
        </w:tc>
      </w:tr>
      <w:tr w14:paraId="06B0F22B">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698F99F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30217</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43A691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公务接待费</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6222770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0.44</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F972213">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0.44</w:t>
            </w:r>
          </w:p>
        </w:tc>
      </w:tr>
      <w:tr w14:paraId="578DB000">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325D222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30228</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8E3C6D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工会经费</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25AE96B1">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4.04</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0B6E727">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4.04</w:t>
            </w:r>
          </w:p>
        </w:tc>
      </w:tr>
      <w:tr w14:paraId="7BBF55FE">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7F1A45D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30229</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52E70A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福利费</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1179ED5F">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4.75</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DA20EA9">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4.75</w:t>
            </w:r>
          </w:p>
        </w:tc>
      </w:tr>
      <w:tr w14:paraId="32DBCF1E">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62F57BC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30239</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3B1ADE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其他交通费用</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513E0058">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22.86</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33F877D">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22.86</w:t>
            </w:r>
          </w:p>
        </w:tc>
      </w:tr>
      <w:tr w14:paraId="2B4BD15D">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13BA7D3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30299</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4B9718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其他商品和服务支出</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6E41AC0D">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6.28</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200CE14">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6.28</w:t>
            </w:r>
          </w:p>
        </w:tc>
      </w:tr>
      <w:tr w14:paraId="346A9C59">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7FA0CCD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303</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778B24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对个人和家庭的补助</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35565178">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123.62</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97B17B0">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123.62</w:t>
            </w:r>
          </w:p>
        </w:tc>
      </w:tr>
      <w:tr w14:paraId="20AFE112">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70CB179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30301</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B48B9A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离休费</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1EA50026">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17.19</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DBE07D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17.19</w:t>
            </w:r>
          </w:p>
        </w:tc>
      </w:tr>
      <w:tr w14:paraId="17F0BE1D">
        <w:tblPrEx>
          <w:tblCellMar>
            <w:top w:w="0" w:type="dxa"/>
            <w:left w:w="108" w:type="dxa"/>
            <w:bottom w:w="0" w:type="dxa"/>
            <w:right w:w="108" w:type="dxa"/>
          </w:tblCellMar>
        </w:tblPrEx>
        <w:trPr>
          <w:trHeight w:val="53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731A9BB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30302</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C5BDF8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退休费</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58560004">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106.40</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A111EE1">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106.40</w:t>
            </w:r>
          </w:p>
        </w:tc>
      </w:tr>
      <w:tr w14:paraId="70761535">
        <w:tblPrEx>
          <w:tblCellMar>
            <w:top w:w="0" w:type="dxa"/>
            <w:left w:w="108" w:type="dxa"/>
            <w:bottom w:w="0" w:type="dxa"/>
            <w:right w:w="108" w:type="dxa"/>
          </w:tblCellMar>
        </w:tblPrEx>
        <w:trPr>
          <w:trHeight w:val="542" w:hRule="atLeast"/>
        </w:trPr>
        <w:tc>
          <w:tcPr>
            <w:tcW w:w="1704" w:type="dxa"/>
            <w:tcBorders>
              <w:top w:val="single" w:color="000000" w:sz="4" w:space="0"/>
              <w:left w:val="single" w:color="000000" w:sz="4" w:space="0"/>
              <w:bottom w:val="single" w:color="000000" w:sz="4" w:space="0"/>
              <w:right w:val="single" w:color="000000" w:sz="4" w:space="0"/>
            </w:tcBorders>
            <w:noWrap/>
            <w:vAlign w:val="center"/>
          </w:tcPr>
          <w:p w14:paraId="2D2360A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30309</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CE54BE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奖励金</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480151E5">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0.02</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5469E44">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0.02</w:t>
            </w:r>
          </w:p>
        </w:tc>
      </w:tr>
    </w:tbl>
    <w:p w14:paraId="6620DFD6">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1240E6F7">
      <w:pPr>
        <w:pStyle w:val="9"/>
        <w:adjustRightInd w:val="0"/>
        <w:snapToGrid w:val="0"/>
        <w:spacing w:before="0" w:beforeAutospacing="0" w:after="0" w:afterAutospacing="0" w:line="600" w:lineRule="exact"/>
        <w:jc w:val="center"/>
        <w:rPr>
          <w:rFonts w:ascii="黑体" w:hAnsi="黑体" w:eastAsia="黑体" w:cs="Times New Roman"/>
          <w:bCs/>
          <w:sz w:val="36"/>
          <w:szCs w:val="36"/>
        </w:rPr>
        <w:sectPr>
          <w:pgSz w:w="11906" w:h="16838"/>
          <w:pgMar w:top="1440" w:right="1418" w:bottom="1440" w:left="1797" w:header="851" w:footer="992" w:gutter="0"/>
          <w:cols w:space="720" w:num="1"/>
          <w:docGrid w:type="linesAndChars" w:linePitch="312" w:charSpace="0"/>
        </w:sectPr>
      </w:pPr>
    </w:p>
    <w:tbl>
      <w:tblPr>
        <w:tblStyle w:val="10"/>
        <w:tblW w:w="13348" w:type="dxa"/>
        <w:tblInd w:w="93" w:type="dxa"/>
        <w:tblLayout w:type="fixed"/>
        <w:tblCellMar>
          <w:top w:w="0" w:type="dxa"/>
          <w:left w:w="108" w:type="dxa"/>
          <w:bottom w:w="0" w:type="dxa"/>
          <w:right w:w="108" w:type="dxa"/>
        </w:tblCellMar>
      </w:tblPr>
      <w:tblGrid>
        <w:gridCol w:w="2518"/>
        <w:gridCol w:w="2100"/>
        <w:gridCol w:w="945"/>
        <w:gridCol w:w="1095"/>
        <w:gridCol w:w="1095"/>
        <w:gridCol w:w="1185"/>
        <w:gridCol w:w="1065"/>
        <w:gridCol w:w="870"/>
        <w:gridCol w:w="1035"/>
        <w:gridCol w:w="810"/>
        <w:gridCol w:w="630"/>
      </w:tblGrid>
      <w:tr w14:paraId="2C434514">
        <w:tblPrEx>
          <w:tblCellMar>
            <w:top w:w="0" w:type="dxa"/>
            <w:left w:w="108" w:type="dxa"/>
            <w:bottom w:w="0" w:type="dxa"/>
            <w:right w:w="108" w:type="dxa"/>
          </w:tblCellMar>
        </w:tblPrEx>
        <w:trPr>
          <w:trHeight w:val="364" w:hRule="atLeast"/>
        </w:trPr>
        <w:tc>
          <w:tcPr>
            <w:tcW w:w="2518" w:type="dxa"/>
            <w:tcBorders>
              <w:top w:val="nil"/>
              <w:left w:val="nil"/>
              <w:bottom w:val="nil"/>
              <w:right w:val="nil"/>
            </w:tcBorders>
            <w:noWrap/>
            <w:vAlign w:val="center"/>
          </w:tcPr>
          <w:p w14:paraId="5B667D70">
            <w:pPr>
              <w:jc w:val="center"/>
              <w:rPr>
                <w:rFonts w:ascii="宋体" w:hAnsi="宋体" w:cs="宋体"/>
                <w:color w:val="000000"/>
                <w:sz w:val="18"/>
                <w:szCs w:val="18"/>
              </w:rPr>
            </w:pPr>
          </w:p>
        </w:tc>
        <w:tc>
          <w:tcPr>
            <w:tcW w:w="2100" w:type="dxa"/>
            <w:tcBorders>
              <w:top w:val="nil"/>
              <w:left w:val="nil"/>
              <w:bottom w:val="nil"/>
              <w:right w:val="nil"/>
            </w:tcBorders>
            <w:noWrap/>
            <w:vAlign w:val="center"/>
          </w:tcPr>
          <w:p w14:paraId="38D054AF">
            <w:pPr>
              <w:jc w:val="center"/>
              <w:rPr>
                <w:rFonts w:ascii="宋体" w:hAnsi="宋体" w:cs="宋体"/>
                <w:color w:val="000000"/>
                <w:sz w:val="18"/>
                <w:szCs w:val="18"/>
              </w:rPr>
            </w:pPr>
          </w:p>
        </w:tc>
        <w:tc>
          <w:tcPr>
            <w:tcW w:w="945" w:type="dxa"/>
            <w:tcBorders>
              <w:top w:val="nil"/>
              <w:left w:val="nil"/>
              <w:bottom w:val="nil"/>
              <w:right w:val="nil"/>
            </w:tcBorders>
            <w:noWrap/>
            <w:vAlign w:val="center"/>
          </w:tcPr>
          <w:p w14:paraId="09BF319D">
            <w:pPr>
              <w:jc w:val="center"/>
              <w:rPr>
                <w:rFonts w:ascii="宋体" w:hAnsi="宋体" w:cs="宋体"/>
                <w:color w:val="000000"/>
                <w:sz w:val="18"/>
                <w:szCs w:val="18"/>
              </w:rPr>
            </w:pPr>
          </w:p>
        </w:tc>
        <w:tc>
          <w:tcPr>
            <w:tcW w:w="1095" w:type="dxa"/>
            <w:tcBorders>
              <w:top w:val="nil"/>
              <w:left w:val="nil"/>
              <w:bottom w:val="nil"/>
              <w:right w:val="nil"/>
            </w:tcBorders>
            <w:noWrap/>
            <w:vAlign w:val="center"/>
          </w:tcPr>
          <w:p w14:paraId="26097BB8">
            <w:pPr>
              <w:jc w:val="center"/>
              <w:rPr>
                <w:rFonts w:ascii="宋体" w:hAnsi="宋体" w:cs="宋体"/>
                <w:color w:val="000000"/>
                <w:sz w:val="18"/>
                <w:szCs w:val="18"/>
              </w:rPr>
            </w:pPr>
          </w:p>
        </w:tc>
        <w:tc>
          <w:tcPr>
            <w:tcW w:w="1095" w:type="dxa"/>
            <w:tcBorders>
              <w:top w:val="nil"/>
              <w:left w:val="nil"/>
              <w:bottom w:val="nil"/>
              <w:right w:val="nil"/>
            </w:tcBorders>
            <w:noWrap/>
            <w:vAlign w:val="center"/>
          </w:tcPr>
          <w:p w14:paraId="7B4B331B">
            <w:pPr>
              <w:jc w:val="center"/>
              <w:rPr>
                <w:rFonts w:ascii="宋体" w:hAnsi="宋体" w:cs="宋体"/>
                <w:color w:val="000000"/>
                <w:sz w:val="18"/>
                <w:szCs w:val="18"/>
              </w:rPr>
            </w:pPr>
          </w:p>
        </w:tc>
        <w:tc>
          <w:tcPr>
            <w:tcW w:w="1185" w:type="dxa"/>
            <w:tcBorders>
              <w:top w:val="nil"/>
              <w:left w:val="nil"/>
              <w:bottom w:val="nil"/>
              <w:right w:val="nil"/>
            </w:tcBorders>
            <w:noWrap/>
            <w:vAlign w:val="center"/>
          </w:tcPr>
          <w:p w14:paraId="1AE9EA3E">
            <w:pPr>
              <w:jc w:val="center"/>
              <w:rPr>
                <w:rFonts w:ascii="宋体" w:hAnsi="宋体" w:cs="宋体"/>
                <w:color w:val="000000"/>
                <w:sz w:val="18"/>
                <w:szCs w:val="18"/>
              </w:rPr>
            </w:pPr>
          </w:p>
        </w:tc>
        <w:tc>
          <w:tcPr>
            <w:tcW w:w="1065" w:type="dxa"/>
            <w:tcBorders>
              <w:top w:val="nil"/>
              <w:left w:val="nil"/>
              <w:bottom w:val="nil"/>
              <w:right w:val="nil"/>
            </w:tcBorders>
            <w:noWrap/>
            <w:vAlign w:val="center"/>
          </w:tcPr>
          <w:p w14:paraId="5ED1930D">
            <w:pPr>
              <w:jc w:val="center"/>
              <w:rPr>
                <w:rFonts w:ascii="宋体" w:hAnsi="宋体" w:cs="宋体"/>
                <w:color w:val="000000"/>
                <w:sz w:val="18"/>
                <w:szCs w:val="18"/>
              </w:rPr>
            </w:pPr>
          </w:p>
        </w:tc>
        <w:tc>
          <w:tcPr>
            <w:tcW w:w="3345" w:type="dxa"/>
            <w:gridSpan w:val="4"/>
            <w:tcBorders>
              <w:top w:val="nil"/>
              <w:left w:val="nil"/>
              <w:bottom w:val="nil"/>
              <w:right w:val="nil"/>
            </w:tcBorders>
            <w:noWrap/>
            <w:vAlign w:val="center"/>
          </w:tcPr>
          <w:p w14:paraId="36396D6B">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部门（单位）公开表10</w:t>
            </w:r>
          </w:p>
        </w:tc>
      </w:tr>
      <w:tr w14:paraId="3F9DA48F">
        <w:tblPrEx>
          <w:tblCellMar>
            <w:top w:w="0" w:type="dxa"/>
            <w:left w:w="108" w:type="dxa"/>
            <w:bottom w:w="0" w:type="dxa"/>
            <w:right w:w="108" w:type="dxa"/>
          </w:tblCellMar>
        </w:tblPrEx>
        <w:trPr>
          <w:trHeight w:val="728" w:hRule="atLeast"/>
        </w:trPr>
        <w:tc>
          <w:tcPr>
            <w:tcW w:w="13348" w:type="dxa"/>
            <w:gridSpan w:val="11"/>
            <w:tcBorders>
              <w:top w:val="nil"/>
              <w:left w:val="nil"/>
              <w:bottom w:val="nil"/>
              <w:right w:val="nil"/>
            </w:tcBorders>
            <w:noWrap/>
            <w:vAlign w:val="center"/>
          </w:tcPr>
          <w:p w14:paraId="658AD3CB">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rPr>
              <w:t>表十、2024年项目支出总表</w:t>
            </w:r>
          </w:p>
        </w:tc>
      </w:tr>
      <w:tr w14:paraId="33EB031F">
        <w:tblPrEx>
          <w:tblCellMar>
            <w:top w:w="0" w:type="dxa"/>
            <w:left w:w="108" w:type="dxa"/>
            <w:bottom w:w="0" w:type="dxa"/>
            <w:right w:w="108" w:type="dxa"/>
          </w:tblCellMar>
        </w:tblPrEx>
        <w:trPr>
          <w:trHeight w:val="303" w:hRule="atLeast"/>
        </w:trPr>
        <w:tc>
          <w:tcPr>
            <w:tcW w:w="7753" w:type="dxa"/>
            <w:gridSpan w:val="5"/>
            <w:tcBorders>
              <w:top w:val="nil"/>
              <w:left w:val="nil"/>
              <w:bottom w:val="nil"/>
              <w:right w:val="nil"/>
            </w:tcBorders>
            <w:noWrap/>
            <w:vAlign w:val="center"/>
          </w:tcPr>
          <w:p w14:paraId="44E9AD9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[077]黄山市经济和信息化局 </w:t>
            </w:r>
          </w:p>
        </w:tc>
        <w:tc>
          <w:tcPr>
            <w:tcW w:w="1185" w:type="dxa"/>
            <w:tcBorders>
              <w:top w:val="nil"/>
              <w:left w:val="nil"/>
              <w:bottom w:val="nil"/>
              <w:right w:val="nil"/>
            </w:tcBorders>
            <w:noWrap/>
            <w:vAlign w:val="center"/>
          </w:tcPr>
          <w:p w14:paraId="215D7E3B">
            <w:pPr>
              <w:jc w:val="center"/>
              <w:rPr>
                <w:rFonts w:ascii="宋体" w:hAnsi="宋体" w:cs="宋体"/>
                <w:color w:val="000000"/>
                <w:sz w:val="18"/>
                <w:szCs w:val="18"/>
              </w:rPr>
            </w:pPr>
          </w:p>
        </w:tc>
        <w:tc>
          <w:tcPr>
            <w:tcW w:w="1065" w:type="dxa"/>
            <w:tcBorders>
              <w:top w:val="nil"/>
              <w:left w:val="nil"/>
              <w:bottom w:val="nil"/>
              <w:right w:val="nil"/>
            </w:tcBorders>
            <w:noWrap/>
            <w:vAlign w:val="center"/>
          </w:tcPr>
          <w:p w14:paraId="287DBDEF">
            <w:pPr>
              <w:jc w:val="center"/>
              <w:rPr>
                <w:rFonts w:ascii="宋体" w:hAnsi="宋体" w:cs="宋体"/>
                <w:color w:val="000000"/>
                <w:sz w:val="18"/>
                <w:szCs w:val="18"/>
              </w:rPr>
            </w:pPr>
          </w:p>
        </w:tc>
        <w:tc>
          <w:tcPr>
            <w:tcW w:w="870" w:type="dxa"/>
            <w:tcBorders>
              <w:top w:val="nil"/>
              <w:left w:val="nil"/>
              <w:bottom w:val="nil"/>
              <w:right w:val="nil"/>
            </w:tcBorders>
            <w:noWrap/>
            <w:vAlign w:val="center"/>
          </w:tcPr>
          <w:p w14:paraId="41E3BF10">
            <w:pPr>
              <w:jc w:val="center"/>
              <w:rPr>
                <w:rFonts w:ascii="宋体" w:hAnsi="宋体" w:cs="宋体"/>
                <w:color w:val="000000"/>
                <w:sz w:val="18"/>
                <w:szCs w:val="18"/>
              </w:rPr>
            </w:pPr>
          </w:p>
        </w:tc>
        <w:tc>
          <w:tcPr>
            <w:tcW w:w="2475" w:type="dxa"/>
            <w:gridSpan w:val="3"/>
            <w:tcBorders>
              <w:top w:val="nil"/>
              <w:left w:val="nil"/>
              <w:bottom w:val="nil"/>
              <w:right w:val="nil"/>
            </w:tcBorders>
            <w:noWrap/>
            <w:vAlign w:val="center"/>
          </w:tcPr>
          <w:p w14:paraId="442640B4">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单位：万元</w:t>
            </w:r>
          </w:p>
        </w:tc>
      </w:tr>
      <w:tr w14:paraId="049E5C07">
        <w:tblPrEx>
          <w:tblCellMar>
            <w:top w:w="0" w:type="dxa"/>
            <w:left w:w="108" w:type="dxa"/>
            <w:bottom w:w="0" w:type="dxa"/>
            <w:right w:w="108" w:type="dxa"/>
          </w:tblCellMar>
        </w:tblPrEx>
        <w:trPr>
          <w:trHeight w:val="519" w:hRule="atLeast"/>
        </w:trPr>
        <w:tc>
          <w:tcPr>
            <w:tcW w:w="25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BF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6A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项目单位</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04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C1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本年拨款</w:t>
            </w:r>
          </w:p>
        </w:tc>
        <w:tc>
          <w:tcPr>
            <w:tcW w:w="297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601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财政拨款结转结余</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51C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财政专户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管理资金</w:t>
            </w:r>
          </w:p>
        </w:tc>
        <w:tc>
          <w:tcPr>
            <w:tcW w:w="630" w:type="dxa"/>
            <w:vMerge w:val="restart"/>
            <w:tcBorders>
              <w:top w:val="single" w:color="000000" w:sz="4" w:space="0"/>
              <w:left w:val="single" w:color="000000" w:sz="4" w:space="0"/>
              <w:bottom w:val="single" w:color="000000" w:sz="4" w:space="0"/>
              <w:right w:val="single" w:color="000000" w:sz="4" w:space="0"/>
            </w:tcBorders>
            <w:noWrap/>
            <w:vAlign w:val="center"/>
          </w:tcPr>
          <w:p w14:paraId="331DAE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其他资金</w:t>
            </w:r>
          </w:p>
        </w:tc>
      </w:tr>
      <w:tr w14:paraId="6A6EBF9C">
        <w:tblPrEx>
          <w:tblCellMar>
            <w:top w:w="0" w:type="dxa"/>
            <w:left w:w="108" w:type="dxa"/>
            <w:bottom w:w="0" w:type="dxa"/>
            <w:right w:w="108" w:type="dxa"/>
          </w:tblCellMar>
        </w:tblPrEx>
        <w:trPr>
          <w:trHeight w:val="1075" w:hRule="atLeast"/>
        </w:trPr>
        <w:tc>
          <w:tcPr>
            <w:tcW w:w="2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5CDA">
            <w:pPr>
              <w:jc w:val="center"/>
              <w:rPr>
                <w:rFonts w:ascii="宋体" w:hAnsi="宋体" w:cs="宋体"/>
                <w:color w:val="000000"/>
                <w:sz w:val="20"/>
                <w:szCs w:val="20"/>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26B2">
            <w:pPr>
              <w:jc w:val="center"/>
              <w:rPr>
                <w:rFonts w:ascii="宋体" w:hAnsi="宋体" w:cs="宋体"/>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9B0E">
            <w:pPr>
              <w:jc w:val="center"/>
              <w:rPr>
                <w:rFonts w:ascii="宋体" w:hAnsi="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79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一般公共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预算</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51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政府性基金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预算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16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国有资本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经营预算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EC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一般公共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预算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AE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政府性基金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预算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47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国有资本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经营预算</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574B7">
            <w:pPr>
              <w:jc w:val="center"/>
              <w:rPr>
                <w:rFonts w:ascii="宋体" w:hAnsi="宋体" w:cs="宋体"/>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ign w:val="center"/>
          </w:tcPr>
          <w:p w14:paraId="522AF850">
            <w:pPr>
              <w:jc w:val="center"/>
              <w:rPr>
                <w:rFonts w:ascii="宋体" w:hAnsi="宋体" w:cs="宋体"/>
                <w:color w:val="000000"/>
                <w:sz w:val="20"/>
                <w:szCs w:val="20"/>
              </w:rPr>
            </w:pPr>
          </w:p>
        </w:tc>
      </w:tr>
      <w:tr w14:paraId="3AFE3CE0">
        <w:tblPrEx>
          <w:tblCellMar>
            <w:top w:w="0" w:type="dxa"/>
            <w:left w:w="108" w:type="dxa"/>
            <w:bottom w:w="0" w:type="dxa"/>
            <w:right w:w="108" w:type="dxa"/>
          </w:tblCellMar>
        </w:tblPrEx>
        <w:trPr>
          <w:trHeight w:val="388" w:hRule="atLeast"/>
        </w:trPr>
        <w:tc>
          <w:tcPr>
            <w:tcW w:w="2518" w:type="dxa"/>
            <w:tcBorders>
              <w:top w:val="single" w:color="000000" w:sz="4" w:space="0"/>
              <w:left w:val="single" w:color="000000" w:sz="4" w:space="0"/>
              <w:bottom w:val="single" w:color="000000" w:sz="4" w:space="0"/>
              <w:right w:val="single" w:color="000000" w:sz="4" w:space="0"/>
            </w:tcBorders>
            <w:noWrap/>
            <w:vAlign w:val="center"/>
          </w:tcPr>
          <w:p w14:paraId="1A55FB11">
            <w:pPr>
              <w:rPr>
                <w:rFonts w:ascii="宋体" w:hAnsi="宋体" w:cs="宋体"/>
                <w:color w:val="000000"/>
                <w:sz w:val="18"/>
                <w:szCs w:val="18"/>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27745B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7EA68F2">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72.74</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013BBFB">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57.00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8583CDC">
            <w:pPr>
              <w:jc w:val="right"/>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64A67855">
            <w:pPr>
              <w:jc w:val="right"/>
              <w:rPr>
                <w:rFonts w:ascii="宋体" w:hAnsi="宋体" w:cs="宋体"/>
                <w:color w:val="000000"/>
                <w:sz w:val="18"/>
                <w:szCs w:val="18"/>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71AB93AE">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15.74</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341B566">
            <w:pPr>
              <w:jc w:val="right"/>
              <w:rPr>
                <w:rFonts w:ascii="宋体"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AF360F5">
            <w:pPr>
              <w:jc w:val="right"/>
              <w:rPr>
                <w:rFonts w:ascii="宋体" w:hAnsi="宋体" w:cs="宋体"/>
                <w:color w:val="000000"/>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564F0B4">
            <w:pPr>
              <w:jc w:val="right"/>
              <w:rPr>
                <w:rFonts w:ascii="宋体" w:hAnsi="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FDA1D71">
            <w:pPr>
              <w:jc w:val="right"/>
              <w:rPr>
                <w:rFonts w:ascii="宋体" w:hAnsi="宋体" w:cs="宋体"/>
                <w:color w:val="000000"/>
                <w:sz w:val="18"/>
                <w:szCs w:val="18"/>
              </w:rPr>
            </w:pPr>
          </w:p>
        </w:tc>
      </w:tr>
      <w:tr w14:paraId="383DB607">
        <w:tblPrEx>
          <w:tblCellMar>
            <w:top w:w="0" w:type="dxa"/>
            <w:left w:w="108" w:type="dxa"/>
            <w:bottom w:w="0" w:type="dxa"/>
            <w:right w:w="108" w:type="dxa"/>
          </w:tblCellMar>
        </w:tblPrEx>
        <w:trPr>
          <w:trHeight w:val="493" w:hRule="atLeast"/>
        </w:trPr>
        <w:tc>
          <w:tcPr>
            <w:tcW w:w="2518" w:type="dxa"/>
            <w:tcBorders>
              <w:top w:val="single" w:color="000000" w:sz="4" w:space="0"/>
              <w:left w:val="single" w:color="000000" w:sz="4" w:space="0"/>
              <w:bottom w:val="single" w:color="000000" w:sz="4" w:space="0"/>
              <w:right w:val="single" w:color="000000" w:sz="4" w:space="0"/>
            </w:tcBorders>
            <w:noWrap/>
            <w:vAlign w:val="center"/>
          </w:tcPr>
          <w:p w14:paraId="5DEEEE8D">
            <w:pPr>
              <w:rPr>
                <w:rFonts w:ascii="宋体" w:hAnsi="宋体" w:cs="宋体"/>
                <w:color w:val="000000"/>
                <w:sz w:val="18"/>
                <w:szCs w:val="18"/>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394D6BC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黄山市经济和信息化局</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DC637BF">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72.74</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D2F7C12">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57.00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C5954F0">
            <w:pPr>
              <w:jc w:val="right"/>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8A47E21">
            <w:pPr>
              <w:jc w:val="right"/>
              <w:rPr>
                <w:rFonts w:ascii="宋体" w:hAnsi="宋体" w:cs="宋体"/>
                <w:color w:val="000000"/>
                <w:sz w:val="18"/>
                <w:szCs w:val="18"/>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FC7F25D">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15.74</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78F97DFA">
            <w:pPr>
              <w:jc w:val="right"/>
              <w:rPr>
                <w:rFonts w:ascii="宋体"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4F2AA06">
            <w:pPr>
              <w:jc w:val="right"/>
              <w:rPr>
                <w:rFonts w:ascii="宋体" w:hAnsi="宋体" w:cs="宋体"/>
                <w:color w:val="000000"/>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115A4A2">
            <w:pPr>
              <w:jc w:val="right"/>
              <w:rPr>
                <w:rFonts w:ascii="宋体" w:hAnsi="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A1528B2">
            <w:pPr>
              <w:jc w:val="right"/>
              <w:rPr>
                <w:rFonts w:ascii="宋体" w:hAnsi="宋体" w:cs="宋体"/>
                <w:color w:val="000000"/>
                <w:sz w:val="18"/>
                <w:szCs w:val="18"/>
              </w:rPr>
            </w:pPr>
          </w:p>
        </w:tc>
      </w:tr>
      <w:tr w14:paraId="5B807674">
        <w:tblPrEx>
          <w:tblCellMar>
            <w:top w:w="0" w:type="dxa"/>
            <w:left w:w="108" w:type="dxa"/>
            <w:bottom w:w="0" w:type="dxa"/>
            <w:right w:w="108" w:type="dxa"/>
          </w:tblCellMar>
        </w:tblPrEx>
        <w:trPr>
          <w:trHeight w:val="548" w:hRule="atLeast"/>
        </w:trPr>
        <w:tc>
          <w:tcPr>
            <w:tcW w:w="2518" w:type="dxa"/>
            <w:tcBorders>
              <w:top w:val="single" w:color="000000" w:sz="4" w:space="0"/>
              <w:left w:val="single" w:color="000000" w:sz="4" w:space="0"/>
              <w:bottom w:val="single" w:color="000000" w:sz="4" w:space="0"/>
              <w:right w:val="single" w:color="000000" w:sz="4" w:space="0"/>
            </w:tcBorders>
            <w:noWrap/>
            <w:vAlign w:val="center"/>
          </w:tcPr>
          <w:p w14:paraId="263C845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市委市政府相关领导组工作经费</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375963A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黄山市经济和信息化局</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096FE4C">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24.00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0DF6457">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24.00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F5BE837">
            <w:pPr>
              <w:jc w:val="right"/>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4912D13">
            <w:pPr>
              <w:jc w:val="right"/>
              <w:rPr>
                <w:rFonts w:ascii="宋体" w:hAnsi="宋体" w:cs="宋体"/>
                <w:color w:val="000000"/>
                <w:sz w:val="18"/>
                <w:szCs w:val="18"/>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24DC82CF">
            <w:pPr>
              <w:jc w:val="right"/>
              <w:rPr>
                <w:rFonts w:ascii="宋体" w:hAns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14015CB3">
            <w:pPr>
              <w:jc w:val="right"/>
              <w:rPr>
                <w:rFonts w:ascii="宋体"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AB3C353">
            <w:pPr>
              <w:jc w:val="right"/>
              <w:rPr>
                <w:rFonts w:ascii="宋体" w:hAnsi="宋体" w:cs="宋体"/>
                <w:color w:val="000000"/>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8103A5D">
            <w:pPr>
              <w:jc w:val="right"/>
              <w:rPr>
                <w:rFonts w:ascii="宋体" w:hAnsi="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D54D6F9">
            <w:pPr>
              <w:jc w:val="right"/>
              <w:rPr>
                <w:rFonts w:ascii="宋体" w:hAnsi="宋体" w:cs="宋体"/>
                <w:color w:val="000000"/>
                <w:sz w:val="18"/>
                <w:szCs w:val="18"/>
              </w:rPr>
            </w:pPr>
          </w:p>
        </w:tc>
      </w:tr>
      <w:tr w14:paraId="6898A861">
        <w:tblPrEx>
          <w:tblCellMar>
            <w:top w:w="0" w:type="dxa"/>
            <w:left w:w="108" w:type="dxa"/>
            <w:bottom w:w="0" w:type="dxa"/>
            <w:right w:w="108" w:type="dxa"/>
          </w:tblCellMar>
        </w:tblPrEx>
        <w:trPr>
          <w:trHeight w:val="548" w:hRule="atLeast"/>
        </w:trPr>
        <w:tc>
          <w:tcPr>
            <w:tcW w:w="2518" w:type="dxa"/>
            <w:tcBorders>
              <w:top w:val="single" w:color="000000" w:sz="4" w:space="0"/>
              <w:left w:val="single" w:color="000000" w:sz="4" w:space="0"/>
              <w:bottom w:val="single" w:color="000000" w:sz="4" w:space="0"/>
              <w:right w:val="single" w:color="000000" w:sz="4" w:space="0"/>
            </w:tcBorders>
            <w:noWrap/>
            <w:vAlign w:val="center"/>
          </w:tcPr>
          <w:p w14:paraId="2312BE5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企业家协会补助经费</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72C44A1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黄山市经济和信息化局</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080E430">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02ABE07">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0671F8A">
            <w:pPr>
              <w:jc w:val="right"/>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421B115">
            <w:pPr>
              <w:jc w:val="right"/>
              <w:rPr>
                <w:rFonts w:ascii="宋体" w:hAnsi="宋体" w:cs="宋体"/>
                <w:color w:val="000000"/>
                <w:sz w:val="18"/>
                <w:szCs w:val="18"/>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0E26E04E">
            <w:pPr>
              <w:jc w:val="right"/>
              <w:rPr>
                <w:rFonts w:ascii="宋体" w:hAns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6D77891B">
            <w:pPr>
              <w:jc w:val="right"/>
              <w:rPr>
                <w:rFonts w:ascii="宋体"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6A9AC08">
            <w:pPr>
              <w:jc w:val="right"/>
              <w:rPr>
                <w:rFonts w:ascii="宋体" w:hAnsi="宋体" w:cs="宋体"/>
                <w:color w:val="000000"/>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48C9D7F">
            <w:pPr>
              <w:jc w:val="right"/>
              <w:rPr>
                <w:rFonts w:ascii="宋体" w:hAnsi="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069A2BB">
            <w:pPr>
              <w:jc w:val="right"/>
              <w:rPr>
                <w:rFonts w:ascii="宋体" w:hAnsi="宋体" w:cs="宋体"/>
                <w:color w:val="000000"/>
                <w:sz w:val="18"/>
                <w:szCs w:val="18"/>
              </w:rPr>
            </w:pPr>
          </w:p>
        </w:tc>
      </w:tr>
      <w:tr w14:paraId="398562A9">
        <w:tblPrEx>
          <w:tblCellMar>
            <w:top w:w="0" w:type="dxa"/>
            <w:left w:w="108" w:type="dxa"/>
            <w:bottom w:w="0" w:type="dxa"/>
            <w:right w:w="108" w:type="dxa"/>
          </w:tblCellMar>
        </w:tblPrEx>
        <w:trPr>
          <w:trHeight w:val="548" w:hRule="atLeast"/>
        </w:trPr>
        <w:tc>
          <w:tcPr>
            <w:tcW w:w="2518" w:type="dxa"/>
            <w:tcBorders>
              <w:top w:val="single" w:color="000000" w:sz="4" w:space="0"/>
              <w:left w:val="single" w:color="000000" w:sz="4" w:space="0"/>
              <w:bottom w:val="single" w:color="000000" w:sz="4" w:space="0"/>
              <w:right w:val="single" w:color="000000" w:sz="4" w:space="0"/>
            </w:tcBorders>
            <w:noWrap/>
            <w:vAlign w:val="center"/>
          </w:tcPr>
          <w:p w14:paraId="4D74E6C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全市食盐储备工作经费</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3CFE035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黄山市经济和信息化局</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A3B7948">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5.00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DF7B8B0">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5.00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6A17282">
            <w:pPr>
              <w:jc w:val="right"/>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93CC470">
            <w:pPr>
              <w:jc w:val="right"/>
              <w:rPr>
                <w:rFonts w:ascii="宋体" w:hAnsi="宋体" w:cs="宋体"/>
                <w:color w:val="000000"/>
                <w:sz w:val="18"/>
                <w:szCs w:val="18"/>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61A26AE2">
            <w:pPr>
              <w:jc w:val="right"/>
              <w:rPr>
                <w:rFonts w:ascii="宋体" w:hAns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4E53762D">
            <w:pPr>
              <w:jc w:val="right"/>
              <w:rPr>
                <w:rFonts w:ascii="宋体"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6ED0381">
            <w:pPr>
              <w:jc w:val="right"/>
              <w:rPr>
                <w:rFonts w:ascii="宋体" w:hAnsi="宋体" w:cs="宋体"/>
                <w:color w:val="000000"/>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CBCAA79">
            <w:pPr>
              <w:jc w:val="right"/>
              <w:rPr>
                <w:rFonts w:ascii="宋体" w:hAnsi="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4024A3D">
            <w:pPr>
              <w:jc w:val="right"/>
              <w:rPr>
                <w:rFonts w:ascii="宋体" w:hAnsi="宋体" w:cs="宋体"/>
                <w:color w:val="000000"/>
                <w:sz w:val="18"/>
                <w:szCs w:val="18"/>
              </w:rPr>
            </w:pPr>
          </w:p>
        </w:tc>
      </w:tr>
      <w:tr w14:paraId="45C40F41">
        <w:tblPrEx>
          <w:tblCellMar>
            <w:top w:w="0" w:type="dxa"/>
            <w:left w:w="108" w:type="dxa"/>
            <w:bottom w:w="0" w:type="dxa"/>
            <w:right w:w="108" w:type="dxa"/>
          </w:tblCellMar>
        </w:tblPrEx>
        <w:trPr>
          <w:trHeight w:val="615" w:hRule="atLeast"/>
        </w:trPr>
        <w:tc>
          <w:tcPr>
            <w:tcW w:w="2518" w:type="dxa"/>
            <w:tcBorders>
              <w:top w:val="single" w:color="000000" w:sz="4" w:space="0"/>
              <w:left w:val="single" w:color="000000" w:sz="4" w:space="0"/>
              <w:bottom w:val="single" w:color="000000" w:sz="4" w:space="0"/>
              <w:right w:val="single" w:color="000000" w:sz="4" w:space="0"/>
            </w:tcBorders>
            <w:noWrap/>
            <w:vAlign w:val="center"/>
          </w:tcPr>
          <w:p w14:paraId="141E664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2023年疫情防控及边境能力建设补助资金</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2DF5321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黄山市经济和信息化局</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861ECE3">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12.74</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EA17DD9">
            <w:pPr>
              <w:jc w:val="right"/>
              <w:rPr>
                <w:rFonts w:ascii="宋体" w:hAnsi="宋体"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A49FCC8">
            <w:pPr>
              <w:jc w:val="right"/>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691F28C2">
            <w:pPr>
              <w:jc w:val="right"/>
              <w:rPr>
                <w:rFonts w:ascii="宋体" w:hAnsi="宋体" w:cs="宋体"/>
                <w:color w:val="000000"/>
                <w:sz w:val="18"/>
                <w:szCs w:val="18"/>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3EFA14E7">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12.74</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0A1F9D3D">
            <w:pPr>
              <w:jc w:val="right"/>
              <w:rPr>
                <w:rFonts w:ascii="宋体"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D08F140">
            <w:pPr>
              <w:jc w:val="right"/>
              <w:rPr>
                <w:rFonts w:ascii="宋体" w:hAnsi="宋体" w:cs="宋体"/>
                <w:color w:val="000000"/>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A6E200A">
            <w:pPr>
              <w:jc w:val="right"/>
              <w:rPr>
                <w:rFonts w:ascii="宋体" w:hAnsi="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6E306FA">
            <w:pPr>
              <w:jc w:val="right"/>
              <w:rPr>
                <w:rFonts w:ascii="宋体" w:hAnsi="宋体" w:cs="宋体"/>
                <w:color w:val="000000"/>
                <w:sz w:val="18"/>
                <w:szCs w:val="18"/>
              </w:rPr>
            </w:pPr>
          </w:p>
        </w:tc>
      </w:tr>
      <w:tr w14:paraId="19A4C18B">
        <w:tblPrEx>
          <w:tblCellMar>
            <w:top w:w="0" w:type="dxa"/>
            <w:left w:w="108" w:type="dxa"/>
            <w:bottom w:w="0" w:type="dxa"/>
            <w:right w:w="108" w:type="dxa"/>
          </w:tblCellMar>
        </w:tblPrEx>
        <w:trPr>
          <w:trHeight w:val="548" w:hRule="atLeast"/>
        </w:trPr>
        <w:tc>
          <w:tcPr>
            <w:tcW w:w="2518" w:type="dxa"/>
            <w:tcBorders>
              <w:top w:val="single" w:color="000000" w:sz="4" w:space="0"/>
              <w:left w:val="single" w:color="000000" w:sz="4" w:space="0"/>
              <w:bottom w:val="single" w:color="000000" w:sz="4" w:space="0"/>
              <w:right w:val="single" w:color="000000" w:sz="4" w:space="0"/>
            </w:tcBorders>
            <w:noWrap/>
            <w:vAlign w:val="center"/>
          </w:tcPr>
          <w:p w14:paraId="7B80302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铁路无人看守道口监护</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726AAF8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黄山市经济和信息化局</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2F7BCFD">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24.00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DF68BD2">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24.00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B787CBD">
            <w:pPr>
              <w:jc w:val="right"/>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7A1B905E">
            <w:pPr>
              <w:jc w:val="right"/>
              <w:rPr>
                <w:rFonts w:ascii="宋体" w:hAnsi="宋体" w:cs="宋体"/>
                <w:color w:val="000000"/>
                <w:sz w:val="18"/>
                <w:szCs w:val="18"/>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EB358E4">
            <w:pPr>
              <w:jc w:val="right"/>
              <w:rPr>
                <w:rFonts w:ascii="宋体" w:hAns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241A8AE">
            <w:pPr>
              <w:jc w:val="right"/>
              <w:rPr>
                <w:rFonts w:ascii="宋体"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316FBF1">
            <w:pPr>
              <w:jc w:val="right"/>
              <w:rPr>
                <w:rFonts w:ascii="宋体" w:hAnsi="宋体" w:cs="宋体"/>
                <w:color w:val="000000"/>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D5967ED">
            <w:pPr>
              <w:jc w:val="right"/>
              <w:rPr>
                <w:rFonts w:ascii="宋体" w:hAnsi="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DE320BD">
            <w:pPr>
              <w:jc w:val="right"/>
              <w:rPr>
                <w:rFonts w:ascii="宋体" w:hAnsi="宋体" w:cs="宋体"/>
                <w:color w:val="000000"/>
                <w:sz w:val="18"/>
                <w:szCs w:val="18"/>
              </w:rPr>
            </w:pPr>
          </w:p>
        </w:tc>
      </w:tr>
      <w:tr w14:paraId="7C1EE2A5">
        <w:tblPrEx>
          <w:tblCellMar>
            <w:top w:w="0" w:type="dxa"/>
            <w:left w:w="108" w:type="dxa"/>
            <w:bottom w:w="0" w:type="dxa"/>
            <w:right w:w="108" w:type="dxa"/>
          </w:tblCellMar>
        </w:tblPrEx>
        <w:trPr>
          <w:trHeight w:val="927" w:hRule="atLeast"/>
        </w:trPr>
        <w:tc>
          <w:tcPr>
            <w:tcW w:w="2518" w:type="dxa"/>
            <w:tcBorders>
              <w:top w:val="single" w:color="000000" w:sz="4" w:space="0"/>
              <w:left w:val="single" w:color="000000" w:sz="4" w:space="0"/>
              <w:bottom w:val="single" w:color="000000" w:sz="4" w:space="0"/>
              <w:right w:val="single" w:color="000000" w:sz="4" w:space="0"/>
            </w:tcBorders>
            <w:noWrap/>
            <w:vAlign w:val="center"/>
          </w:tcPr>
          <w:p w14:paraId="7C1E21C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2023年省级制造强省建设资金(数字化转型推动制造业高端化智能化绿色化发展若干政策资金))</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3D65BDE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黄山市经济和信息化局</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1C0E43B">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3.00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53E268E">
            <w:pPr>
              <w:jc w:val="right"/>
              <w:rPr>
                <w:rFonts w:ascii="宋体" w:hAnsi="宋体"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F2C8BC3">
            <w:pPr>
              <w:jc w:val="right"/>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B8CC972">
            <w:pPr>
              <w:jc w:val="right"/>
              <w:rPr>
                <w:rFonts w:ascii="宋体" w:hAnsi="宋体" w:cs="宋体"/>
                <w:color w:val="000000"/>
                <w:sz w:val="18"/>
                <w:szCs w:val="18"/>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2EE2F948">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53CFFF4">
            <w:pPr>
              <w:jc w:val="right"/>
              <w:rPr>
                <w:rFonts w:ascii="宋体"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B2D9955">
            <w:pPr>
              <w:jc w:val="right"/>
              <w:rPr>
                <w:rFonts w:ascii="宋体" w:hAnsi="宋体" w:cs="宋体"/>
                <w:color w:val="000000"/>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58644AF">
            <w:pPr>
              <w:jc w:val="right"/>
              <w:rPr>
                <w:rFonts w:ascii="宋体" w:hAnsi="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B971CA7">
            <w:pPr>
              <w:jc w:val="right"/>
              <w:rPr>
                <w:rFonts w:ascii="宋体" w:hAnsi="宋体" w:cs="宋体"/>
                <w:color w:val="000000"/>
                <w:sz w:val="18"/>
                <w:szCs w:val="18"/>
              </w:rPr>
            </w:pPr>
          </w:p>
        </w:tc>
      </w:tr>
    </w:tbl>
    <w:p w14:paraId="354B29D2">
      <w:pPr>
        <w:pStyle w:val="9"/>
        <w:adjustRightInd w:val="0"/>
        <w:snapToGrid w:val="0"/>
        <w:spacing w:before="0" w:beforeAutospacing="0" w:after="0" w:afterAutospacing="0" w:line="600" w:lineRule="exact"/>
        <w:jc w:val="center"/>
        <w:rPr>
          <w:rFonts w:ascii="黑体" w:hAnsi="黑体" w:eastAsia="黑体" w:cs="Times New Roman"/>
          <w:bCs/>
          <w:sz w:val="36"/>
          <w:szCs w:val="36"/>
        </w:rPr>
        <w:sectPr>
          <w:pgSz w:w="16838" w:h="11906" w:orient="landscape"/>
          <w:pgMar w:top="1797" w:right="1440" w:bottom="1418" w:left="1440" w:header="851" w:footer="992" w:gutter="0"/>
          <w:cols w:space="720" w:num="1"/>
          <w:docGrid w:type="linesAndChars" w:linePitch="312" w:charSpace="0"/>
        </w:sectPr>
      </w:pPr>
    </w:p>
    <w:tbl>
      <w:tblPr>
        <w:tblStyle w:val="10"/>
        <w:tblW w:w="9098" w:type="dxa"/>
        <w:tblInd w:w="93" w:type="dxa"/>
        <w:tblLayout w:type="fixed"/>
        <w:tblCellMar>
          <w:top w:w="0" w:type="dxa"/>
          <w:left w:w="108" w:type="dxa"/>
          <w:bottom w:w="0" w:type="dxa"/>
          <w:right w:w="108" w:type="dxa"/>
        </w:tblCellMar>
      </w:tblPr>
      <w:tblGrid>
        <w:gridCol w:w="2255"/>
        <w:gridCol w:w="1429"/>
        <w:gridCol w:w="719"/>
        <w:gridCol w:w="1140"/>
        <w:gridCol w:w="880"/>
        <w:gridCol w:w="740"/>
        <w:gridCol w:w="1099"/>
        <w:gridCol w:w="836"/>
      </w:tblGrid>
      <w:tr w14:paraId="78C5DD99">
        <w:tblPrEx>
          <w:tblCellMar>
            <w:top w:w="0" w:type="dxa"/>
            <w:left w:w="108" w:type="dxa"/>
            <w:bottom w:w="0" w:type="dxa"/>
            <w:right w:w="108" w:type="dxa"/>
          </w:tblCellMar>
        </w:tblPrEx>
        <w:trPr>
          <w:trHeight w:val="594" w:hRule="atLeast"/>
        </w:trPr>
        <w:tc>
          <w:tcPr>
            <w:tcW w:w="2255" w:type="dxa"/>
            <w:tcBorders>
              <w:top w:val="nil"/>
              <w:left w:val="nil"/>
              <w:bottom w:val="nil"/>
              <w:right w:val="nil"/>
            </w:tcBorders>
            <w:noWrap/>
            <w:vAlign w:val="bottom"/>
          </w:tcPr>
          <w:p w14:paraId="0DDA5235">
            <w:pPr>
              <w:rPr>
                <w:rFonts w:ascii="Arial" w:hAnsi="Arial" w:cs="Arial"/>
                <w:color w:val="000000"/>
                <w:sz w:val="20"/>
                <w:szCs w:val="20"/>
              </w:rPr>
            </w:pPr>
          </w:p>
        </w:tc>
        <w:tc>
          <w:tcPr>
            <w:tcW w:w="1429" w:type="dxa"/>
            <w:tcBorders>
              <w:top w:val="nil"/>
              <w:left w:val="nil"/>
              <w:bottom w:val="nil"/>
              <w:right w:val="nil"/>
            </w:tcBorders>
            <w:noWrap/>
            <w:vAlign w:val="center"/>
          </w:tcPr>
          <w:p w14:paraId="6262C9CD">
            <w:pPr>
              <w:rPr>
                <w:rFonts w:ascii="宋体" w:hAnsi="宋体" w:cs="宋体"/>
                <w:color w:val="000000"/>
                <w:sz w:val="18"/>
                <w:szCs w:val="18"/>
              </w:rPr>
            </w:pPr>
          </w:p>
        </w:tc>
        <w:tc>
          <w:tcPr>
            <w:tcW w:w="719" w:type="dxa"/>
            <w:tcBorders>
              <w:top w:val="nil"/>
              <w:left w:val="nil"/>
              <w:bottom w:val="nil"/>
              <w:right w:val="nil"/>
            </w:tcBorders>
            <w:noWrap/>
            <w:vAlign w:val="center"/>
          </w:tcPr>
          <w:p w14:paraId="29658FC6">
            <w:pPr>
              <w:rPr>
                <w:rFonts w:ascii="宋体" w:hAnsi="宋体" w:cs="宋体"/>
                <w:color w:val="000000"/>
                <w:sz w:val="18"/>
                <w:szCs w:val="18"/>
              </w:rPr>
            </w:pPr>
          </w:p>
        </w:tc>
        <w:tc>
          <w:tcPr>
            <w:tcW w:w="1140" w:type="dxa"/>
            <w:tcBorders>
              <w:top w:val="nil"/>
              <w:left w:val="nil"/>
              <w:bottom w:val="nil"/>
              <w:right w:val="nil"/>
            </w:tcBorders>
            <w:noWrap/>
            <w:vAlign w:val="center"/>
          </w:tcPr>
          <w:p w14:paraId="709D6FFB">
            <w:pPr>
              <w:rPr>
                <w:rFonts w:ascii="宋体" w:hAnsi="宋体" w:cs="宋体"/>
                <w:color w:val="000000"/>
                <w:sz w:val="18"/>
                <w:szCs w:val="18"/>
              </w:rPr>
            </w:pPr>
          </w:p>
        </w:tc>
        <w:tc>
          <w:tcPr>
            <w:tcW w:w="880" w:type="dxa"/>
            <w:tcBorders>
              <w:top w:val="nil"/>
              <w:left w:val="nil"/>
              <w:bottom w:val="nil"/>
              <w:right w:val="nil"/>
            </w:tcBorders>
            <w:noWrap/>
            <w:vAlign w:val="center"/>
          </w:tcPr>
          <w:p w14:paraId="39F1BFA5">
            <w:pPr>
              <w:rPr>
                <w:rFonts w:ascii="宋体" w:hAnsi="宋体" w:cs="宋体"/>
                <w:color w:val="000000"/>
                <w:sz w:val="18"/>
                <w:szCs w:val="18"/>
              </w:rPr>
            </w:pPr>
          </w:p>
        </w:tc>
        <w:tc>
          <w:tcPr>
            <w:tcW w:w="2675" w:type="dxa"/>
            <w:gridSpan w:val="3"/>
            <w:tcBorders>
              <w:top w:val="nil"/>
              <w:left w:val="nil"/>
              <w:bottom w:val="nil"/>
              <w:right w:val="nil"/>
            </w:tcBorders>
            <w:noWrap/>
            <w:vAlign w:val="center"/>
          </w:tcPr>
          <w:p w14:paraId="0FE90E05">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部门（单位）公开表11</w:t>
            </w:r>
          </w:p>
        </w:tc>
      </w:tr>
      <w:tr w14:paraId="70DA3B49">
        <w:tblPrEx>
          <w:tblCellMar>
            <w:top w:w="0" w:type="dxa"/>
            <w:left w:w="108" w:type="dxa"/>
            <w:bottom w:w="0" w:type="dxa"/>
            <w:right w:w="108" w:type="dxa"/>
          </w:tblCellMar>
        </w:tblPrEx>
        <w:trPr>
          <w:trHeight w:val="714" w:hRule="atLeast"/>
        </w:trPr>
        <w:tc>
          <w:tcPr>
            <w:tcW w:w="9098" w:type="dxa"/>
            <w:gridSpan w:val="8"/>
            <w:tcBorders>
              <w:top w:val="nil"/>
              <w:left w:val="nil"/>
              <w:bottom w:val="nil"/>
              <w:right w:val="nil"/>
            </w:tcBorders>
            <w:noWrap/>
            <w:vAlign w:val="center"/>
          </w:tcPr>
          <w:p w14:paraId="1F39238E">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rPr>
              <w:t>表十一、2024年政府采购支出表</w:t>
            </w:r>
          </w:p>
        </w:tc>
      </w:tr>
      <w:tr w14:paraId="433C4F5A">
        <w:tblPrEx>
          <w:tblCellMar>
            <w:top w:w="0" w:type="dxa"/>
            <w:left w:w="108" w:type="dxa"/>
            <w:bottom w:w="0" w:type="dxa"/>
            <w:right w:w="108" w:type="dxa"/>
          </w:tblCellMar>
        </w:tblPrEx>
        <w:trPr>
          <w:trHeight w:val="309" w:hRule="atLeast"/>
        </w:trPr>
        <w:tc>
          <w:tcPr>
            <w:tcW w:w="4403" w:type="dxa"/>
            <w:gridSpan w:val="3"/>
            <w:tcBorders>
              <w:top w:val="nil"/>
              <w:left w:val="nil"/>
              <w:bottom w:val="nil"/>
              <w:right w:val="nil"/>
            </w:tcBorders>
            <w:noWrap/>
            <w:vAlign w:val="center"/>
          </w:tcPr>
          <w:p w14:paraId="551779F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[077]黄山市经济和信息化局 </w:t>
            </w:r>
          </w:p>
        </w:tc>
        <w:tc>
          <w:tcPr>
            <w:tcW w:w="1140" w:type="dxa"/>
            <w:tcBorders>
              <w:top w:val="nil"/>
              <w:left w:val="nil"/>
              <w:bottom w:val="nil"/>
              <w:right w:val="nil"/>
            </w:tcBorders>
            <w:noWrap/>
            <w:vAlign w:val="center"/>
          </w:tcPr>
          <w:p w14:paraId="23A53EED">
            <w:pPr>
              <w:rPr>
                <w:rFonts w:ascii="宋体" w:hAnsi="宋体" w:cs="宋体"/>
                <w:color w:val="000000"/>
                <w:sz w:val="18"/>
                <w:szCs w:val="18"/>
              </w:rPr>
            </w:pPr>
          </w:p>
        </w:tc>
        <w:tc>
          <w:tcPr>
            <w:tcW w:w="880" w:type="dxa"/>
            <w:tcBorders>
              <w:top w:val="nil"/>
              <w:left w:val="nil"/>
              <w:bottom w:val="nil"/>
              <w:right w:val="nil"/>
            </w:tcBorders>
            <w:noWrap/>
            <w:vAlign w:val="center"/>
          </w:tcPr>
          <w:p w14:paraId="2A4BE31D">
            <w:pPr>
              <w:rPr>
                <w:rFonts w:ascii="宋体" w:hAnsi="宋体" w:cs="宋体"/>
                <w:color w:val="000000"/>
                <w:sz w:val="18"/>
                <w:szCs w:val="18"/>
              </w:rPr>
            </w:pPr>
          </w:p>
        </w:tc>
        <w:tc>
          <w:tcPr>
            <w:tcW w:w="740" w:type="dxa"/>
            <w:tcBorders>
              <w:top w:val="nil"/>
              <w:left w:val="nil"/>
              <w:bottom w:val="nil"/>
              <w:right w:val="nil"/>
            </w:tcBorders>
            <w:noWrap/>
            <w:vAlign w:val="center"/>
          </w:tcPr>
          <w:p w14:paraId="1A70D7A1">
            <w:pPr>
              <w:rPr>
                <w:rFonts w:ascii="宋体" w:hAnsi="宋体" w:cs="宋体"/>
                <w:color w:val="000000"/>
                <w:sz w:val="18"/>
                <w:szCs w:val="18"/>
              </w:rPr>
            </w:pPr>
          </w:p>
        </w:tc>
        <w:tc>
          <w:tcPr>
            <w:tcW w:w="1935" w:type="dxa"/>
            <w:gridSpan w:val="2"/>
            <w:tcBorders>
              <w:top w:val="nil"/>
              <w:left w:val="nil"/>
              <w:bottom w:val="nil"/>
              <w:right w:val="nil"/>
            </w:tcBorders>
            <w:noWrap/>
            <w:vAlign w:val="center"/>
          </w:tcPr>
          <w:p w14:paraId="426115CB">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单位：万元</w:t>
            </w:r>
          </w:p>
        </w:tc>
      </w:tr>
      <w:tr w14:paraId="37D4A00A">
        <w:tblPrEx>
          <w:tblCellMar>
            <w:top w:w="0" w:type="dxa"/>
            <w:left w:w="108" w:type="dxa"/>
            <w:bottom w:w="0" w:type="dxa"/>
            <w:right w:w="108" w:type="dxa"/>
          </w:tblCellMar>
        </w:tblPrEx>
        <w:trPr>
          <w:trHeight w:val="1245" w:hRule="atLeast"/>
        </w:trPr>
        <w:tc>
          <w:tcPr>
            <w:tcW w:w="2255" w:type="dxa"/>
            <w:tcBorders>
              <w:top w:val="single" w:color="000000" w:sz="4" w:space="0"/>
              <w:left w:val="single" w:color="000000" w:sz="4" w:space="0"/>
              <w:bottom w:val="single" w:color="000000" w:sz="4" w:space="0"/>
              <w:right w:val="single" w:color="000000" w:sz="4" w:space="0"/>
            </w:tcBorders>
            <w:noWrap/>
            <w:vAlign w:val="center"/>
          </w:tcPr>
          <w:p w14:paraId="0C68DD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00727A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政府采购品目</w:t>
            </w:r>
          </w:p>
        </w:tc>
        <w:tc>
          <w:tcPr>
            <w:tcW w:w="719" w:type="dxa"/>
            <w:tcBorders>
              <w:top w:val="single" w:color="000000" w:sz="4" w:space="0"/>
              <w:left w:val="single" w:color="000000" w:sz="4" w:space="0"/>
              <w:bottom w:val="nil"/>
              <w:right w:val="single" w:color="000000" w:sz="4" w:space="0"/>
            </w:tcBorders>
            <w:noWrap/>
            <w:vAlign w:val="center"/>
          </w:tcPr>
          <w:p w14:paraId="241E28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40" w:type="dxa"/>
            <w:tcBorders>
              <w:top w:val="single" w:color="000000" w:sz="4" w:space="0"/>
              <w:left w:val="single" w:color="000000" w:sz="4" w:space="0"/>
              <w:bottom w:val="nil"/>
              <w:right w:val="single" w:color="000000" w:sz="4" w:space="0"/>
            </w:tcBorders>
            <w:noWrap/>
            <w:vAlign w:val="center"/>
          </w:tcPr>
          <w:p w14:paraId="4C463B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公共预算</w:t>
            </w:r>
          </w:p>
        </w:tc>
        <w:tc>
          <w:tcPr>
            <w:tcW w:w="880" w:type="dxa"/>
            <w:tcBorders>
              <w:top w:val="single" w:color="000000" w:sz="4" w:space="0"/>
              <w:left w:val="single" w:color="000000" w:sz="4" w:space="0"/>
              <w:bottom w:val="nil"/>
              <w:right w:val="single" w:color="000000" w:sz="4" w:space="0"/>
            </w:tcBorders>
            <w:noWrap/>
            <w:vAlign w:val="center"/>
          </w:tcPr>
          <w:p w14:paraId="7F9AB8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基金预算</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806A5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国有资本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经营预算</w:t>
            </w:r>
          </w:p>
        </w:tc>
        <w:tc>
          <w:tcPr>
            <w:tcW w:w="1099" w:type="dxa"/>
            <w:tcBorders>
              <w:top w:val="single" w:color="000000" w:sz="4" w:space="0"/>
              <w:left w:val="single" w:color="000000" w:sz="4" w:space="0"/>
              <w:bottom w:val="nil"/>
              <w:right w:val="single" w:color="000000" w:sz="4" w:space="0"/>
            </w:tcBorders>
            <w:noWrap/>
            <w:vAlign w:val="center"/>
          </w:tcPr>
          <w:p w14:paraId="20D335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财政专户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管理非税收入</w:t>
            </w: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083EAF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其他资金</w:t>
            </w:r>
          </w:p>
        </w:tc>
      </w:tr>
      <w:tr w14:paraId="7700AFB6">
        <w:tblPrEx>
          <w:tblCellMar>
            <w:top w:w="0" w:type="dxa"/>
            <w:left w:w="108" w:type="dxa"/>
            <w:bottom w:w="0" w:type="dxa"/>
            <w:right w:w="108" w:type="dxa"/>
          </w:tblCellMar>
        </w:tblPrEx>
        <w:trPr>
          <w:trHeight w:val="505" w:hRule="atLeast"/>
        </w:trPr>
        <w:tc>
          <w:tcPr>
            <w:tcW w:w="2255" w:type="dxa"/>
            <w:tcBorders>
              <w:top w:val="single" w:color="000000" w:sz="4" w:space="0"/>
              <w:left w:val="single" w:color="000000" w:sz="4" w:space="0"/>
              <w:bottom w:val="single" w:color="000000" w:sz="4" w:space="0"/>
              <w:right w:val="single" w:color="000000" w:sz="4" w:space="0"/>
            </w:tcBorders>
            <w:noWrap/>
            <w:vAlign w:val="center"/>
          </w:tcPr>
          <w:p w14:paraId="16724269">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合计</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35561615">
            <w:pPr>
              <w:rPr>
                <w:rFonts w:ascii="Calibri" w:hAnsi="Calibri" w:cs="Calibri"/>
                <w:color w:val="000000"/>
                <w:sz w:val="22"/>
                <w:szCs w:val="22"/>
              </w:rPr>
            </w:pP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66D8AEBC">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1.50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985FDE7">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1.50</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EECADD8">
            <w:pPr>
              <w:jc w:val="right"/>
              <w:rPr>
                <w:rFonts w:ascii="宋体" w:hAnsi="宋体" w:cs="宋体"/>
                <w:color w:val="000000"/>
                <w:sz w:val="18"/>
                <w:szCs w:val="18"/>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10482AA">
            <w:pPr>
              <w:jc w:val="right"/>
              <w:rPr>
                <w:rFonts w:ascii="宋体" w:hAnsi="宋体" w:cs="宋体"/>
                <w:color w:val="000000"/>
                <w:sz w:val="18"/>
                <w:szCs w:val="18"/>
              </w:rPr>
            </w:pPr>
          </w:p>
        </w:tc>
        <w:tc>
          <w:tcPr>
            <w:tcW w:w="1099" w:type="dxa"/>
            <w:tcBorders>
              <w:top w:val="single" w:color="000000" w:sz="4" w:space="0"/>
              <w:left w:val="single" w:color="000000" w:sz="4" w:space="0"/>
              <w:bottom w:val="single" w:color="000000" w:sz="4" w:space="0"/>
              <w:right w:val="single" w:color="000000" w:sz="4" w:space="0"/>
            </w:tcBorders>
            <w:noWrap/>
            <w:vAlign w:val="center"/>
          </w:tcPr>
          <w:p w14:paraId="38CD1CE2">
            <w:pPr>
              <w:jc w:val="right"/>
              <w:rPr>
                <w:rFonts w:ascii="宋体" w:hAnsi="宋体"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6445A1CC">
            <w:pPr>
              <w:jc w:val="right"/>
              <w:rPr>
                <w:rFonts w:ascii="宋体" w:hAnsi="宋体" w:cs="宋体"/>
                <w:color w:val="000000"/>
                <w:sz w:val="18"/>
                <w:szCs w:val="18"/>
              </w:rPr>
            </w:pPr>
          </w:p>
        </w:tc>
      </w:tr>
      <w:tr w14:paraId="324D7388">
        <w:tblPrEx>
          <w:tblCellMar>
            <w:top w:w="0" w:type="dxa"/>
            <w:left w:w="108" w:type="dxa"/>
            <w:bottom w:w="0" w:type="dxa"/>
            <w:right w:w="108" w:type="dxa"/>
          </w:tblCellMar>
        </w:tblPrEx>
        <w:trPr>
          <w:trHeight w:val="505" w:hRule="atLeast"/>
        </w:trPr>
        <w:tc>
          <w:tcPr>
            <w:tcW w:w="2255" w:type="dxa"/>
            <w:tcBorders>
              <w:top w:val="single" w:color="000000" w:sz="4" w:space="0"/>
              <w:left w:val="single" w:color="000000" w:sz="4" w:space="0"/>
              <w:bottom w:val="single" w:color="000000" w:sz="4" w:space="0"/>
              <w:right w:val="single" w:color="000000" w:sz="4" w:space="0"/>
            </w:tcBorders>
            <w:noWrap/>
            <w:vAlign w:val="center"/>
          </w:tcPr>
          <w:p w14:paraId="434C5BA0">
            <w:pPr>
              <w:widowControl/>
              <w:jc w:val="left"/>
              <w:textAlignment w:val="center"/>
              <w:rPr>
                <w:rFonts w:ascii="Calibri" w:hAnsi="Calibri" w:cs="Calibri"/>
                <w:color w:val="000000"/>
                <w:sz w:val="22"/>
                <w:szCs w:val="22"/>
              </w:rPr>
            </w:pPr>
            <w:r>
              <w:rPr>
                <w:rFonts w:ascii="Calibri" w:hAnsi="Calibri" w:cs="Calibri"/>
                <w:color w:val="000000"/>
                <w:kern w:val="0"/>
                <w:sz w:val="22"/>
                <w:szCs w:val="22"/>
              </w:rPr>
              <w:t>铁路无人看守道口监护</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470B4321">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复印机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2BA31DF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1.50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69294E8">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1.50</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458714A">
            <w:pPr>
              <w:jc w:val="right"/>
              <w:rPr>
                <w:rFonts w:ascii="宋体" w:hAnsi="宋体" w:cs="宋体"/>
                <w:color w:val="000000"/>
                <w:sz w:val="18"/>
                <w:szCs w:val="18"/>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61601C0">
            <w:pPr>
              <w:jc w:val="right"/>
              <w:rPr>
                <w:rFonts w:ascii="宋体" w:hAnsi="宋体" w:cs="宋体"/>
                <w:color w:val="000000"/>
                <w:sz w:val="18"/>
                <w:szCs w:val="18"/>
              </w:rPr>
            </w:pPr>
          </w:p>
        </w:tc>
        <w:tc>
          <w:tcPr>
            <w:tcW w:w="1099" w:type="dxa"/>
            <w:tcBorders>
              <w:top w:val="single" w:color="000000" w:sz="4" w:space="0"/>
              <w:left w:val="single" w:color="000000" w:sz="4" w:space="0"/>
              <w:bottom w:val="single" w:color="000000" w:sz="4" w:space="0"/>
              <w:right w:val="single" w:color="000000" w:sz="4" w:space="0"/>
            </w:tcBorders>
            <w:noWrap/>
            <w:vAlign w:val="center"/>
          </w:tcPr>
          <w:p w14:paraId="7691A965">
            <w:pPr>
              <w:jc w:val="right"/>
              <w:rPr>
                <w:rFonts w:ascii="宋体" w:hAnsi="宋体"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2BB47391">
            <w:pPr>
              <w:jc w:val="right"/>
              <w:rPr>
                <w:rFonts w:ascii="宋体" w:hAnsi="宋体" w:cs="宋体"/>
                <w:color w:val="000000"/>
                <w:sz w:val="18"/>
                <w:szCs w:val="18"/>
              </w:rPr>
            </w:pPr>
          </w:p>
        </w:tc>
      </w:tr>
      <w:tr w14:paraId="03952AFC">
        <w:tblPrEx>
          <w:tblCellMar>
            <w:top w:w="0" w:type="dxa"/>
            <w:left w:w="108" w:type="dxa"/>
            <w:bottom w:w="0" w:type="dxa"/>
            <w:right w:w="108" w:type="dxa"/>
          </w:tblCellMar>
        </w:tblPrEx>
        <w:trPr>
          <w:trHeight w:val="520" w:hRule="atLeast"/>
        </w:trPr>
        <w:tc>
          <w:tcPr>
            <w:tcW w:w="2255" w:type="dxa"/>
            <w:tcBorders>
              <w:top w:val="single" w:color="000000" w:sz="4" w:space="0"/>
              <w:left w:val="single" w:color="000000" w:sz="4" w:space="0"/>
              <w:bottom w:val="single" w:color="000000" w:sz="4" w:space="0"/>
              <w:right w:val="single" w:color="000000" w:sz="4" w:space="0"/>
            </w:tcBorders>
            <w:noWrap/>
            <w:vAlign w:val="bottom"/>
          </w:tcPr>
          <w:p w14:paraId="4049FFB1">
            <w:pPr>
              <w:rPr>
                <w:rFonts w:ascii="Calibri" w:hAnsi="Calibri" w:cs="Calibri"/>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44209C8D">
            <w:pPr>
              <w:rPr>
                <w:rFonts w:ascii="Calibri" w:hAnsi="Calibri" w:cs="Calibri"/>
                <w:color w:val="000000"/>
                <w:sz w:val="22"/>
                <w:szCs w:val="22"/>
              </w:rPr>
            </w:pPr>
          </w:p>
        </w:tc>
        <w:tc>
          <w:tcPr>
            <w:tcW w:w="719" w:type="dxa"/>
            <w:tcBorders>
              <w:top w:val="single" w:color="000000" w:sz="4" w:space="0"/>
              <w:left w:val="single" w:color="000000" w:sz="4" w:space="0"/>
              <w:bottom w:val="single" w:color="000000" w:sz="4" w:space="0"/>
              <w:right w:val="single" w:color="000000" w:sz="4" w:space="0"/>
            </w:tcBorders>
            <w:noWrap/>
            <w:vAlign w:val="bottom"/>
          </w:tcPr>
          <w:p w14:paraId="0C722125">
            <w:pPr>
              <w:rPr>
                <w:rFonts w:ascii="Calibri" w:hAnsi="Calibri" w:cs="Calibri"/>
                <w:color w:val="000000"/>
                <w:sz w:val="22"/>
                <w:szCs w:val="22"/>
              </w:rPr>
            </w:pPr>
          </w:p>
        </w:tc>
        <w:tc>
          <w:tcPr>
            <w:tcW w:w="1140" w:type="dxa"/>
            <w:tcBorders>
              <w:top w:val="single" w:color="000000" w:sz="4" w:space="0"/>
              <w:left w:val="single" w:color="000000" w:sz="4" w:space="0"/>
              <w:bottom w:val="single" w:color="000000" w:sz="4" w:space="0"/>
              <w:right w:val="single" w:color="000000" w:sz="4" w:space="0"/>
            </w:tcBorders>
            <w:noWrap/>
            <w:vAlign w:val="bottom"/>
          </w:tcPr>
          <w:p w14:paraId="51C7857A">
            <w:pPr>
              <w:rPr>
                <w:rFonts w:ascii="Calibri" w:hAnsi="Calibri" w:cs="Calibri"/>
                <w:color w:val="000000"/>
                <w:sz w:val="22"/>
                <w:szCs w:val="22"/>
              </w:rPr>
            </w:pPr>
          </w:p>
        </w:tc>
        <w:tc>
          <w:tcPr>
            <w:tcW w:w="880" w:type="dxa"/>
            <w:tcBorders>
              <w:top w:val="single" w:color="000000" w:sz="4" w:space="0"/>
              <w:left w:val="single" w:color="000000" w:sz="4" w:space="0"/>
              <w:bottom w:val="single" w:color="000000" w:sz="4" w:space="0"/>
              <w:right w:val="single" w:color="000000" w:sz="4" w:space="0"/>
            </w:tcBorders>
            <w:noWrap/>
            <w:vAlign w:val="bottom"/>
          </w:tcPr>
          <w:p w14:paraId="5BC7CC03">
            <w:pPr>
              <w:rPr>
                <w:rFonts w:ascii="Calibri" w:hAnsi="Calibri" w:cs="Calibri"/>
                <w:color w:val="000000"/>
                <w:sz w:val="22"/>
                <w:szCs w:val="22"/>
              </w:rPr>
            </w:pPr>
          </w:p>
        </w:tc>
        <w:tc>
          <w:tcPr>
            <w:tcW w:w="740" w:type="dxa"/>
            <w:tcBorders>
              <w:top w:val="single" w:color="000000" w:sz="4" w:space="0"/>
              <w:left w:val="single" w:color="000000" w:sz="4" w:space="0"/>
              <w:bottom w:val="single" w:color="000000" w:sz="4" w:space="0"/>
              <w:right w:val="single" w:color="000000" w:sz="4" w:space="0"/>
            </w:tcBorders>
            <w:noWrap/>
            <w:vAlign w:val="bottom"/>
          </w:tcPr>
          <w:p w14:paraId="774085CD">
            <w:pPr>
              <w:rPr>
                <w:rFonts w:ascii="Calibri" w:hAnsi="Calibri" w:cs="Calibri"/>
                <w:color w:val="000000"/>
                <w:sz w:val="22"/>
                <w:szCs w:val="22"/>
              </w:rPr>
            </w:pPr>
          </w:p>
        </w:tc>
        <w:tc>
          <w:tcPr>
            <w:tcW w:w="1099" w:type="dxa"/>
            <w:tcBorders>
              <w:top w:val="single" w:color="000000" w:sz="4" w:space="0"/>
              <w:left w:val="single" w:color="000000" w:sz="4" w:space="0"/>
              <w:bottom w:val="single" w:color="000000" w:sz="4" w:space="0"/>
              <w:right w:val="single" w:color="000000" w:sz="4" w:space="0"/>
            </w:tcBorders>
            <w:noWrap/>
            <w:vAlign w:val="bottom"/>
          </w:tcPr>
          <w:p w14:paraId="15E7676C">
            <w:pPr>
              <w:rPr>
                <w:rFonts w:ascii="Calibri" w:hAnsi="Calibri" w:cs="Calibri"/>
                <w:color w:val="000000"/>
                <w:sz w:val="22"/>
                <w:szCs w:val="22"/>
              </w:rPr>
            </w:pPr>
          </w:p>
        </w:tc>
        <w:tc>
          <w:tcPr>
            <w:tcW w:w="836" w:type="dxa"/>
            <w:tcBorders>
              <w:top w:val="single" w:color="000000" w:sz="4" w:space="0"/>
              <w:left w:val="single" w:color="000000" w:sz="4" w:space="0"/>
              <w:bottom w:val="single" w:color="000000" w:sz="4" w:space="0"/>
              <w:right w:val="single" w:color="000000" w:sz="4" w:space="0"/>
            </w:tcBorders>
            <w:noWrap/>
            <w:vAlign w:val="bottom"/>
          </w:tcPr>
          <w:p w14:paraId="3AD79057">
            <w:pPr>
              <w:rPr>
                <w:rFonts w:ascii="Calibri" w:hAnsi="Calibri" w:cs="Calibri"/>
                <w:color w:val="000000"/>
                <w:sz w:val="22"/>
                <w:szCs w:val="22"/>
              </w:rPr>
            </w:pPr>
          </w:p>
        </w:tc>
      </w:tr>
      <w:tr w14:paraId="68B19CF0">
        <w:tblPrEx>
          <w:tblCellMar>
            <w:top w:w="0" w:type="dxa"/>
            <w:left w:w="108" w:type="dxa"/>
            <w:bottom w:w="0" w:type="dxa"/>
            <w:right w:w="108" w:type="dxa"/>
          </w:tblCellMar>
        </w:tblPrEx>
        <w:trPr>
          <w:trHeight w:val="520" w:hRule="atLeast"/>
        </w:trPr>
        <w:tc>
          <w:tcPr>
            <w:tcW w:w="2255" w:type="dxa"/>
            <w:tcBorders>
              <w:top w:val="single" w:color="000000" w:sz="4" w:space="0"/>
              <w:left w:val="single" w:color="000000" w:sz="4" w:space="0"/>
              <w:bottom w:val="single" w:color="000000" w:sz="4" w:space="0"/>
              <w:right w:val="single" w:color="000000" w:sz="4" w:space="0"/>
            </w:tcBorders>
            <w:noWrap/>
            <w:vAlign w:val="bottom"/>
          </w:tcPr>
          <w:p w14:paraId="0D217AE8">
            <w:pPr>
              <w:rPr>
                <w:rFonts w:ascii="Calibri" w:hAnsi="Calibri" w:cs="Calibri"/>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75C60DA4">
            <w:pPr>
              <w:rPr>
                <w:rFonts w:ascii="Calibri" w:hAnsi="Calibri" w:cs="Calibri"/>
                <w:color w:val="000000"/>
                <w:sz w:val="22"/>
                <w:szCs w:val="22"/>
              </w:rPr>
            </w:pPr>
          </w:p>
        </w:tc>
        <w:tc>
          <w:tcPr>
            <w:tcW w:w="719" w:type="dxa"/>
            <w:tcBorders>
              <w:top w:val="single" w:color="000000" w:sz="4" w:space="0"/>
              <w:left w:val="single" w:color="000000" w:sz="4" w:space="0"/>
              <w:bottom w:val="single" w:color="000000" w:sz="4" w:space="0"/>
              <w:right w:val="single" w:color="000000" w:sz="4" w:space="0"/>
            </w:tcBorders>
            <w:noWrap/>
            <w:vAlign w:val="bottom"/>
          </w:tcPr>
          <w:p w14:paraId="1E427D42">
            <w:pPr>
              <w:rPr>
                <w:rFonts w:ascii="Calibri" w:hAnsi="Calibri" w:cs="Calibri"/>
                <w:color w:val="000000"/>
                <w:sz w:val="22"/>
                <w:szCs w:val="22"/>
              </w:rPr>
            </w:pPr>
          </w:p>
        </w:tc>
        <w:tc>
          <w:tcPr>
            <w:tcW w:w="1140" w:type="dxa"/>
            <w:tcBorders>
              <w:top w:val="single" w:color="000000" w:sz="4" w:space="0"/>
              <w:left w:val="single" w:color="000000" w:sz="4" w:space="0"/>
              <w:bottom w:val="single" w:color="000000" w:sz="4" w:space="0"/>
              <w:right w:val="single" w:color="000000" w:sz="4" w:space="0"/>
            </w:tcBorders>
            <w:noWrap/>
            <w:vAlign w:val="bottom"/>
          </w:tcPr>
          <w:p w14:paraId="75B896E1">
            <w:pPr>
              <w:rPr>
                <w:rFonts w:ascii="Calibri" w:hAnsi="Calibri" w:cs="Calibri"/>
                <w:color w:val="000000"/>
                <w:sz w:val="22"/>
                <w:szCs w:val="22"/>
              </w:rPr>
            </w:pPr>
          </w:p>
        </w:tc>
        <w:tc>
          <w:tcPr>
            <w:tcW w:w="880" w:type="dxa"/>
            <w:tcBorders>
              <w:top w:val="single" w:color="000000" w:sz="4" w:space="0"/>
              <w:left w:val="single" w:color="000000" w:sz="4" w:space="0"/>
              <w:bottom w:val="single" w:color="000000" w:sz="4" w:space="0"/>
              <w:right w:val="single" w:color="000000" w:sz="4" w:space="0"/>
            </w:tcBorders>
            <w:noWrap/>
            <w:vAlign w:val="bottom"/>
          </w:tcPr>
          <w:p w14:paraId="2B34E786">
            <w:pPr>
              <w:rPr>
                <w:rFonts w:ascii="Calibri" w:hAnsi="Calibri" w:cs="Calibri"/>
                <w:color w:val="000000"/>
                <w:sz w:val="22"/>
                <w:szCs w:val="22"/>
              </w:rPr>
            </w:pPr>
          </w:p>
        </w:tc>
        <w:tc>
          <w:tcPr>
            <w:tcW w:w="740" w:type="dxa"/>
            <w:tcBorders>
              <w:top w:val="single" w:color="000000" w:sz="4" w:space="0"/>
              <w:left w:val="single" w:color="000000" w:sz="4" w:space="0"/>
              <w:bottom w:val="single" w:color="000000" w:sz="4" w:space="0"/>
              <w:right w:val="single" w:color="000000" w:sz="4" w:space="0"/>
            </w:tcBorders>
            <w:noWrap/>
            <w:vAlign w:val="bottom"/>
          </w:tcPr>
          <w:p w14:paraId="14BE4308">
            <w:pPr>
              <w:rPr>
                <w:rFonts w:ascii="Calibri" w:hAnsi="Calibri" w:cs="Calibri"/>
                <w:color w:val="000000"/>
                <w:sz w:val="22"/>
                <w:szCs w:val="22"/>
              </w:rPr>
            </w:pPr>
          </w:p>
        </w:tc>
        <w:tc>
          <w:tcPr>
            <w:tcW w:w="1099" w:type="dxa"/>
            <w:tcBorders>
              <w:top w:val="single" w:color="000000" w:sz="4" w:space="0"/>
              <w:left w:val="single" w:color="000000" w:sz="4" w:space="0"/>
              <w:bottom w:val="single" w:color="000000" w:sz="4" w:space="0"/>
              <w:right w:val="single" w:color="000000" w:sz="4" w:space="0"/>
            </w:tcBorders>
            <w:noWrap/>
            <w:vAlign w:val="bottom"/>
          </w:tcPr>
          <w:p w14:paraId="7E5068D7">
            <w:pPr>
              <w:rPr>
                <w:rFonts w:ascii="Calibri" w:hAnsi="Calibri" w:cs="Calibri"/>
                <w:color w:val="000000"/>
                <w:sz w:val="22"/>
                <w:szCs w:val="22"/>
              </w:rPr>
            </w:pPr>
          </w:p>
        </w:tc>
        <w:tc>
          <w:tcPr>
            <w:tcW w:w="836" w:type="dxa"/>
            <w:tcBorders>
              <w:top w:val="single" w:color="000000" w:sz="4" w:space="0"/>
              <w:left w:val="single" w:color="000000" w:sz="4" w:space="0"/>
              <w:bottom w:val="single" w:color="000000" w:sz="4" w:space="0"/>
              <w:right w:val="single" w:color="000000" w:sz="4" w:space="0"/>
            </w:tcBorders>
            <w:noWrap/>
            <w:vAlign w:val="bottom"/>
          </w:tcPr>
          <w:p w14:paraId="3EAEF40C">
            <w:pPr>
              <w:rPr>
                <w:rFonts w:ascii="Calibri" w:hAnsi="Calibri" w:cs="Calibri"/>
                <w:color w:val="000000"/>
                <w:sz w:val="22"/>
                <w:szCs w:val="22"/>
              </w:rPr>
            </w:pPr>
          </w:p>
        </w:tc>
      </w:tr>
      <w:tr w14:paraId="7D25B4D6">
        <w:tblPrEx>
          <w:tblCellMar>
            <w:top w:w="0" w:type="dxa"/>
            <w:left w:w="108" w:type="dxa"/>
            <w:bottom w:w="0" w:type="dxa"/>
            <w:right w:w="108" w:type="dxa"/>
          </w:tblCellMar>
        </w:tblPrEx>
        <w:trPr>
          <w:trHeight w:val="520" w:hRule="atLeast"/>
        </w:trPr>
        <w:tc>
          <w:tcPr>
            <w:tcW w:w="2255" w:type="dxa"/>
            <w:tcBorders>
              <w:top w:val="single" w:color="000000" w:sz="4" w:space="0"/>
              <w:left w:val="single" w:color="000000" w:sz="4" w:space="0"/>
              <w:bottom w:val="single" w:color="000000" w:sz="4" w:space="0"/>
              <w:right w:val="single" w:color="000000" w:sz="4" w:space="0"/>
            </w:tcBorders>
            <w:noWrap/>
            <w:vAlign w:val="bottom"/>
          </w:tcPr>
          <w:p w14:paraId="33AA0746">
            <w:pPr>
              <w:rPr>
                <w:rFonts w:ascii="Calibri" w:hAnsi="Calibri" w:cs="Calibri"/>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26C1848F">
            <w:pPr>
              <w:rPr>
                <w:rFonts w:ascii="Calibri" w:hAnsi="Calibri" w:cs="Calibri"/>
                <w:color w:val="000000"/>
                <w:sz w:val="22"/>
                <w:szCs w:val="22"/>
              </w:rPr>
            </w:pPr>
          </w:p>
        </w:tc>
        <w:tc>
          <w:tcPr>
            <w:tcW w:w="719" w:type="dxa"/>
            <w:tcBorders>
              <w:top w:val="single" w:color="000000" w:sz="4" w:space="0"/>
              <w:left w:val="single" w:color="000000" w:sz="4" w:space="0"/>
              <w:bottom w:val="single" w:color="000000" w:sz="4" w:space="0"/>
              <w:right w:val="single" w:color="000000" w:sz="4" w:space="0"/>
            </w:tcBorders>
            <w:noWrap/>
            <w:vAlign w:val="bottom"/>
          </w:tcPr>
          <w:p w14:paraId="6D98FEA1">
            <w:pPr>
              <w:rPr>
                <w:rFonts w:ascii="Calibri" w:hAnsi="Calibri" w:cs="Calibri"/>
                <w:color w:val="000000"/>
                <w:sz w:val="22"/>
                <w:szCs w:val="22"/>
              </w:rPr>
            </w:pPr>
          </w:p>
        </w:tc>
        <w:tc>
          <w:tcPr>
            <w:tcW w:w="1140" w:type="dxa"/>
            <w:tcBorders>
              <w:top w:val="single" w:color="000000" w:sz="4" w:space="0"/>
              <w:left w:val="single" w:color="000000" w:sz="4" w:space="0"/>
              <w:bottom w:val="single" w:color="000000" w:sz="4" w:space="0"/>
              <w:right w:val="single" w:color="000000" w:sz="4" w:space="0"/>
            </w:tcBorders>
            <w:noWrap/>
            <w:vAlign w:val="bottom"/>
          </w:tcPr>
          <w:p w14:paraId="7F1B95B0">
            <w:pPr>
              <w:rPr>
                <w:rFonts w:ascii="Calibri" w:hAnsi="Calibri" w:cs="Calibri"/>
                <w:color w:val="000000"/>
                <w:sz w:val="22"/>
                <w:szCs w:val="22"/>
              </w:rPr>
            </w:pPr>
          </w:p>
        </w:tc>
        <w:tc>
          <w:tcPr>
            <w:tcW w:w="880" w:type="dxa"/>
            <w:tcBorders>
              <w:top w:val="single" w:color="000000" w:sz="4" w:space="0"/>
              <w:left w:val="single" w:color="000000" w:sz="4" w:space="0"/>
              <w:bottom w:val="single" w:color="000000" w:sz="4" w:space="0"/>
              <w:right w:val="single" w:color="000000" w:sz="4" w:space="0"/>
            </w:tcBorders>
            <w:noWrap/>
            <w:vAlign w:val="bottom"/>
          </w:tcPr>
          <w:p w14:paraId="25DBF8FD">
            <w:pPr>
              <w:rPr>
                <w:rFonts w:ascii="Calibri" w:hAnsi="Calibri" w:cs="Calibri"/>
                <w:color w:val="000000"/>
                <w:sz w:val="22"/>
                <w:szCs w:val="22"/>
              </w:rPr>
            </w:pPr>
          </w:p>
        </w:tc>
        <w:tc>
          <w:tcPr>
            <w:tcW w:w="740" w:type="dxa"/>
            <w:tcBorders>
              <w:top w:val="single" w:color="000000" w:sz="4" w:space="0"/>
              <w:left w:val="single" w:color="000000" w:sz="4" w:space="0"/>
              <w:bottom w:val="single" w:color="000000" w:sz="4" w:space="0"/>
              <w:right w:val="single" w:color="000000" w:sz="4" w:space="0"/>
            </w:tcBorders>
            <w:noWrap/>
            <w:vAlign w:val="bottom"/>
          </w:tcPr>
          <w:p w14:paraId="3542BBBC">
            <w:pPr>
              <w:rPr>
                <w:rFonts w:ascii="Calibri" w:hAnsi="Calibri" w:cs="Calibri"/>
                <w:color w:val="000000"/>
                <w:sz w:val="22"/>
                <w:szCs w:val="22"/>
              </w:rPr>
            </w:pPr>
          </w:p>
        </w:tc>
        <w:tc>
          <w:tcPr>
            <w:tcW w:w="1099" w:type="dxa"/>
            <w:tcBorders>
              <w:top w:val="single" w:color="000000" w:sz="4" w:space="0"/>
              <w:left w:val="single" w:color="000000" w:sz="4" w:space="0"/>
              <w:bottom w:val="single" w:color="000000" w:sz="4" w:space="0"/>
              <w:right w:val="single" w:color="000000" w:sz="4" w:space="0"/>
            </w:tcBorders>
            <w:noWrap/>
            <w:vAlign w:val="bottom"/>
          </w:tcPr>
          <w:p w14:paraId="42049256">
            <w:pPr>
              <w:rPr>
                <w:rFonts w:ascii="Calibri" w:hAnsi="Calibri" w:cs="Calibri"/>
                <w:color w:val="000000"/>
                <w:sz w:val="22"/>
                <w:szCs w:val="22"/>
              </w:rPr>
            </w:pPr>
          </w:p>
        </w:tc>
        <w:tc>
          <w:tcPr>
            <w:tcW w:w="836" w:type="dxa"/>
            <w:tcBorders>
              <w:top w:val="single" w:color="000000" w:sz="4" w:space="0"/>
              <w:left w:val="single" w:color="000000" w:sz="4" w:space="0"/>
              <w:bottom w:val="single" w:color="000000" w:sz="4" w:space="0"/>
              <w:right w:val="single" w:color="000000" w:sz="4" w:space="0"/>
            </w:tcBorders>
            <w:noWrap/>
            <w:vAlign w:val="bottom"/>
          </w:tcPr>
          <w:p w14:paraId="06BE4E12">
            <w:pPr>
              <w:rPr>
                <w:rFonts w:ascii="Calibri" w:hAnsi="Calibri" w:cs="Calibri"/>
                <w:color w:val="000000"/>
                <w:sz w:val="22"/>
                <w:szCs w:val="22"/>
              </w:rPr>
            </w:pPr>
          </w:p>
        </w:tc>
      </w:tr>
      <w:tr w14:paraId="7DA7DB64">
        <w:tblPrEx>
          <w:tblCellMar>
            <w:top w:w="0" w:type="dxa"/>
            <w:left w:w="108" w:type="dxa"/>
            <w:bottom w:w="0" w:type="dxa"/>
            <w:right w:w="108" w:type="dxa"/>
          </w:tblCellMar>
        </w:tblPrEx>
        <w:trPr>
          <w:trHeight w:val="539" w:hRule="atLeast"/>
        </w:trPr>
        <w:tc>
          <w:tcPr>
            <w:tcW w:w="2255" w:type="dxa"/>
            <w:tcBorders>
              <w:top w:val="single" w:color="000000" w:sz="4" w:space="0"/>
              <w:left w:val="single" w:color="000000" w:sz="4" w:space="0"/>
              <w:bottom w:val="single" w:color="000000" w:sz="4" w:space="0"/>
              <w:right w:val="single" w:color="000000" w:sz="4" w:space="0"/>
            </w:tcBorders>
            <w:noWrap/>
            <w:vAlign w:val="bottom"/>
          </w:tcPr>
          <w:p w14:paraId="46CB3AF7">
            <w:pPr>
              <w:rPr>
                <w:rFonts w:ascii="Calibri" w:hAnsi="Calibri" w:cs="Calibri"/>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3D12510D">
            <w:pPr>
              <w:rPr>
                <w:rFonts w:ascii="Calibri" w:hAnsi="Calibri" w:cs="Calibri"/>
                <w:color w:val="000000"/>
                <w:sz w:val="22"/>
                <w:szCs w:val="22"/>
              </w:rPr>
            </w:pPr>
          </w:p>
        </w:tc>
        <w:tc>
          <w:tcPr>
            <w:tcW w:w="719" w:type="dxa"/>
            <w:tcBorders>
              <w:top w:val="single" w:color="000000" w:sz="4" w:space="0"/>
              <w:left w:val="single" w:color="000000" w:sz="4" w:space="0"/>
              <w:bottom w:val="single" w:color="000000" w:sz="4" w:space="0"/>
              <w:right w:val="single" w:color="000000" w:sz="4" w:space="0"/>
            </w:tcBorders>
            <w:noWrap/>
            <w:vAlign w:val="bottom"/>
          </w:tcPr>
          <w:p w14:paraId="23F403FE">
            <w:pPr>
              <w:rPr>
                <w:rFonts w:ascii="Calibri" w:hAnsi="Calibri" w:cs="Calibri"/>
                <w:color w:val="000000"/>
                <w:sz w:val="22"/>
                <w:szCs w:val="22"/>
              </w:rPr>
            </w:pPr>
          </w:p>
        </w:tc>
        <w:tc>
          <w:tcPr>
            <w:tcW w:w="1140" w:type="dxa"/>
            <w:tcBorders>
              <w:top w:val="single" w:color="000000" w:sz="4" w:space="0"/>
              <w:left w:val="single" w:color="000000" w:sz="4" w:space="0"/>
              <w:bottom w:val="single" w:color="000000" w:sz="4" w:space="0"/>
              <w:right w:val="single" w:color="000000" w:sz="4" w:space="0"/>
            </w:tcBorders>
            <w:noWrap/>
            <w:vAlign w:val="bottom"/>
          </w:tcPr>
          <w:p w14:paraId="5DE08492">
            <w:pPr>
              <w:rPr>
                <w:rFonts w:ascii="Calibri" w:hAnsi="Calibri" w:cs="Calibri"/>
                <w:color w:val="000000"/>
                <w:sz w:val="22"/>
                <w:szCs w:val="22"/>
              </w:rPr>
            </w:pPr>
          </w:p>
        </w:tc>
        <w:tc>
          <w:tcPr>
            <w:tcW w:w="880" w:type="dxa"/>
            <w:tcBorders>
              <w:top w:val="single" w:color="000000" w:sz="4" w:space="0"/>
              <w:left w:val="single" w:color="000000" w:sz="4" w:space="0"/>
              <w:bottom w:val="single" w:color="000000" w:sz="4" w:space="0"/>
              <w:right w:val="single" w:color="000000" w:sz="4" w:space="0"/>
            </w:tcBorders>
            <w:noWrap/>
            <w:vAlign w:val="bottom"/>
          </w:tcPr>
          <w:p w14:paraId="49BB3305">
            <w:pPr>
              <w:rPr>
                <w:rFonts w:ascii="Calibri" w:hAnsi="Calibri" w:cs="Calibri"/>
                <w:color w:val="000000"/>
                <w:sz w:val="22"/>
                <w:szCs w:val="22"/>
              </w:rPr>
            </w:pPr>
          </w:p>
        </w:tc>
        <w:tc>
          <w:tcPr>
            <w:tcW w:w="740" w:type="dxa"/>
            <w:tcBorders>
              <w:top w:val="single" w:color="000000" w:sz="4" w:space="0"/>
              <w:left w:val="single" w:color="000000" w:sz="4" w:space="0"/>
              <w:bottom w:val="single" w:color="000000" w:sz="4" w:space="0"/>
              <w:right w:val="single" w:color="000000" w:sz="4" w:space="0"/>
            </w:tcBorders>
            <w:noWrap/>
            <w:vAlign w:val="bottom"/>
          </w:tcPr>
          <w:p w14:paraId="03E1AEE1">
            <w:pPr>
              <w:rPr>
                <w:rFonts w:ascii="Calibri" w:hAnsi="Calibri" w:cs="Calibri"/>
                <w:color w:val="000000"/>
                <w:sz w:val="22"/>
                <w:szCs w:val="22"/>
              </w:rPr>
            </w:pPr>
          </w:p>
        </w:tc>
        <w:tc>
          <w:tcPr>
            <w:tcW w:w="1099" w:type="dxa"/>
            <w:tcBorders>
              <w:top w:val="single" w:color="000000" w:sz="4" w:space="0"/>
              <w:left w:val="single" w:color="000000" w:sz="4" w:space="0"/>
              <w:bottom w:val="single" w:color="000000" w:sz="4" w:space="0"/>
              <w:right w:val="single" w:color="000000" w:sz="4" w:space="0"/>
            </w:tcBorders>
            <w:noWrap/>
            <w:vAlign w:val="bottom"/>
          </w:tcPr>
          <w:p w14:paraId="781C2829">
            <w:pPr>
              <w:rPr>
                <w:rFonts w:ascii="Calibri" w:hAnsi="Calibri" w:cs="Calibri"/>
                <w:color w:val="000000"/>
                <w:sz w:val="22"/>
                <w:szCs w:val="22"/>
              </w:rPr>
            </w:pPr>
          </w:p>
        </w:tc>
        <w:tc>
          <w:tcPr>
            <w:tcW w:w="836" w:type="dxa"/>
            <w:tcBorders>
              <w:top w:val="single" w:color="000000" w:sz="4" w:space="0"/>
              <w:left w:val="single" w:color="000000" w:sz="4" w:space="0"/>
              <w:bottom w:val="single" w:color="000000" w:sz="4" w:space="0"/>
              <w:right w:val="single" w:color="000000" w:sz="4" w:space="0"/>
            </w:tcBorders>
            <w:noWrap/>
            <w:vAlign w:val="bottom"/>
          </w:tcPr>
          <w:p w14:paraId="642E2C22">
            <w:pPr>
              <w:rPr>
                <w:rFonts w:ascii="Calibri" w:hAnsi="Calibri" w:cs="Calibri"/>
                <w:color w:val="000000"/>
                <w:sz w:val="22"/>
                <w:szCs w:val="22"/>
              </w:rPr>
            </w:pPr>
          </w:p>
        </w:tc>
      </w:tr>
    </w:tbl>
    <w:p w14:paraId="73CA833C">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4163D14A">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4B20C107">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6D5E7F67">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4EA718C7">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49427C4A">
      <w:pPr>
        <w:pStyle w:val="9"/>
        <w:adjustRightInd w:val="0"/>
        <w:snapToGrid w:val="0"/>
        <w:spacing w:before="0" w:beforeAutospacing="0" w:after="0" w:afterAutospacing="0" w:line="600" w:lineRule="exact"/>
        <w:jc w:val="center"/>
        <w:rPr>
          <w:rFonts w:ascii="黑体" w:hAnsi="黑体" w:eastAsia="黑体" w:cs="Times New Roman"/>
          <w:bCs/>
          <w:sz w:val="36"/>
          <w:szCs w:val="36"/>
        </w:rPr>
        <w:sectPr>
          <w:pgSz w:w="11906" w:h="16838"/>
          <w:pgMar w:top="1440" w:right="1418" w:bottom="1440" w:left="1797" w:header="851" w:footer="992" w:gutter="0"/>
          <w:cols w:space="720" w:num="1"/>
          <w:docGrid w:type="linesAndChars" w:linePitch="312" w:charSpace="0"/>
        </w:sectPr>
      </w:pPr>
    </w:p>
    <w:tbl>
      <w:tblPr>
        <w:tblStyle w:val="10"/>
        <w:tblW w:w="14081" w:type="dxa"/>
        <w:tblInd w:w="93" w:type="dxa"/>
        <w:tblLayout w:type="autofit"/>
        <w:tblCellMar>
          <w:top w:w="0" w:type="dxa"/>
          <w:left w:w="108" w:type="dxa"/>
          <w:bottom w:w="0" w:type="dxa"/>
          <w:right w:w="108" w:type="dxa"/>
        </w:tblCellMar>
      </w:tblPr>
      <w:tblGrid>
        <w:gridCol w:w="3078"/>
        <w:gridCol w:w="2453"/>
        <w:gridCol w:w="1609"/>
        <w:gridCol w:w="2873"/>
        <w:gridCol w:w="2056"/>
        <w:gridCol w:w="959"/>
        <w:gridCol w:w="1053"/>
      </w:tblGrid>
      <w:tr w14:paraId="58ED4E39">
        <w:tblPrEx>
          <w:tblCellMar>
            <w:top w:w="0" w:type="dxa"/>
            <w:left w:w="108" w:type="dxa"/>
            <w:bottom w:w="0" w:type="dxa"/>
            <w:right w:w="108" w:type="dxa"/>
          </w:tblCellMar>
        </w:tblPrEx>
        <w:trPr>
          <w:trHeight w:val="609" w:hRule="atLeast"/>
        </w:trPr>
        <w:tc>
          <w:tcPr>
            <w:tcW w:w="2908" w:type="dxa"/>
            <w:tcBorders>
              <w:top w:val="nil"/>
              <w:left w:val="nil"/>
              <w:bottom w:val="nil"/>
              <w:right w:val="nil"/>
            </w:tcBorders>
            <w:noWrap/>
            <w:vAlign w:val="center"/>
          </w:tcPr>
          <w:p w14:paraId="6CEC5A0F">
            <w:pPr>
              <w:rPr>
                <w:rFonts w:ascii="宋体" w:hAnsi="宋体" w:cs="宋体"/>
                <w:color w:val="000000"/>
                <w:sz w:val="40"/>
                <w:szCs w:val="40"/>
              </w:rPr>
            </w:pPr>
          </w:p>
        </w:tc>
        <w:tc>
          <w:tcPr>
            <w:tcW w:w="2624" w:type="dxa"/>
            <w:tcBorders>
              <w:top w:val="nil"/>
              <w:left w:val="nil"/>
              <w:bottom w:val="nil"/>
              <w:right w:val="nil"/>
            </w:tcBorders>
            <w:noWrap/>
            <w:vAlign w:val="center"/>
          </w:tcPr>
          <w:p w14:paraId="71A624E2">
            <w:pPr>
              <w:rPr>
                <w:rFonts w:ascii="宋体" w:hAnsi="宋体" w:cs="宋体"/>
                <w:color w:val="000000"/>
                <w:sz w:val="40"/>
                <w:szCs w:val="40"/>
              </w:rPr>
            </w:pPr>
          </w:p>
        </w:tc>
        <w:tc>
          <w:tcPr>
            <w:tcW w:w="1715" w:type="dxa"/>
            <w:tcBorders>
              <w:top w:val="nil"/>
              <w:left w:val="nil"/>
              <w:bottom w:val="nil"/>
              <w:right w:val="nil"/>
            </w:tcBorders>
            <w:noWrap/>
            <w:vAlign w:val="center"/>
          </w:tcPr>
          <w:p w14:paraId="4C538E21">
            <w:pPr>
              <w:rPr>
                <w:rFonts w:ascii="宋体" w:hAnsi="宋体" w:cs="宋体"/>
                <w:color w:val="000000"/>
                <w:sz w:val="40"/>
                <w:szCs w:val="40"/>
              </w:rPr>
            </w:pPr>
          </w:p>
        </w:tc>
        <w:tc>
          <w:tcPr>
            <w:tcW w:w="2716" w:type="dxa"/>
            <w:tcBorders>
              <w:top w:val="nil"/>
              <w:left w:val="nil"/>
              <w:bottom w:val="nil"/>
              <w:right w:val="nil"/>
            </w:tcBorders>
            <w:noWrap/>
            <w:vAlign w:val="center"/>
          </w:tcPr>
          <w:p w14:paraId="1AE63C28">
            <w:pPr>
              <w:rPr>
                <w:rFonts w:ascii="宋体" w:hAnsi="宋体" w:cs="宋体"/>
                <w:color w:val="000000"/>
                <w:sz w:val="40"/>
                <w:szCs w:val="40"/>
              </w:rPr>
            </w:pPr>
          </w:p>
        </w:tc>
        <w:tc>
          <w:tcPr>
            <w:tcW w:w="4118" w:type="dxa"/>
            <w:gridSpan w:val="3"/>
            <w:tcBorders>
              <w:top w:val="nil"/>
              <w:left w:val="nil"/>
              <w:bottom w:val="nil"/>
              <w:right w:val="nil"/>
            </w:tcBorders>
            <w:noWrap/>
            <w:vAlign w:val="center"/>
          </w:tcPr>
          <w:p w14:paraId="3506A10C">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部门（单位）公开表12</w:t>
            </w:r>
          </w:p>
        </w:tc>
      </w:tr>
      <w:tr w14:paraId="071A0DB1">
        <w:tblPrEx>
          <w:tblCellMar>
            <w:top w:w="0" w:type="dxa"/>
            <w:left w:w="108" w:type="dxa"/>
            <w:bottom w:w="0" w:type="dxa"/>
            <w:right w:w="108" w:type="dxa"/>
          </w:tblCellMar>
        </w:tblPrEx>
        <w:trPr>
          <w:trHeight w:val="732" w:hRule="atLeast"/>
        </w:trPr>
        <w:tc>
          <w:tcPr>
            <w:tcW w:w="0" w:type="auto"/>
            <w:gridSpan w:val="6"/>
            <w:tcBorders>
              <w:top w:val="nil"/>
              <w:left w:val="nil"/>
              <w:bottom w:val="nil"/>
              <w:right w:val="nil"/>
            </w:tcBorders>
            <w:noWrap/>
            <w:vAlign w:val="center"/>
          </w:tcPr>
          <w:p w14:paraId="428303E9">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rPr>
              <w:t>表十二、2024年政府购买服务支出表</w:t>
            </w:r>
          </w:p>
        </w:tc>
        <w:tc>
          <w:tcPr>
            <w:tcW w:w="0" w:type="auto"/>
            <w:tcBorders>
              <w:top w:val="nil"/>
              <w:left w:val="nil"/>
              <w:bottom w:val="nil"/>
              <w:right w:val="nil"/>
            </w:tcBorders>
            <w:noWrap/>
            <w:vAlign w:val="bottom"/>
          </w:tcPr>
          <w:p w14:paraId="166F4735">
            <w:pPr>
              <w:rPr>
                <w:rFonts w:ascii="Arial" w:hAnsi="Arial" w:cs="Arial"/>
                <w:color w:val="000000"/>
                <w:sz w:val="20"/>
                <w:szCs w:val="20"/>
              </w:rPr>
            </w:pPr>
          </w:p>
        </w:tc>
      </w:tr>
      <w:tr w14:paraId="42036C8E">
        <w:tblPrEx>
          <w:tblCellMar>
            <w:top w:w="0" w:type="dxa"/>
            <w:left w:w="108" w:type="dxa"/>
            <w:bottom w:w="0" w:type="dxa"/>
            <w:right w:w="108" w:type="dxa"/>
          </w:tblCellMar>
        </w:tblPrEx>
        <w:trPr>
          <w:trHeight w:val="305" w:hRule="atLeast"/>
        </w:trPr>
        <w:tc>
          <w:tcPr>
            <w:tcW w:w="0" w:type="auto"/>
            <w:gridSpan w:val="3"/>
            <w:tcBorders>
              <w:top w:val="nil"/>
              <w:left w:val="nil"/>
              <w:bottom w:val="nil"/>
              <w:right w:val="nil"/>
            </w:tcBorders>
            <w:noWrap/>
            <w:vAlign w:val="center"/>
          </w:tcPr>
          <w:p w14:paraId="02522DE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[077]黄山市经济和信息化局 </w:t>
            </w:r>
          </w:p>
        </w:tc>
        <w:tc>
          <w:tcPr>
            <w:tcW w:w="0" w:type="auto"/>
            <w:tcBorders>
              <w:top w:val="nil"/>
              <w:left w:val="nil"/>
              <w:bottom w:val="nil"/>
              <w:right w:val="nil"/>
            </w:tcBorders>
            <w:noWrap/>
            <w:vAlign w:val="center"/>
          </w:tcPr>
          <w:p w14:paraId="5E082B90">
            <w:pPr>
              <w:jc w:val="center"/>
              <w:rPr>
                <w:rFonts w:ascii="宋体" w:hAnsi="宋体" w:cs="宋体"/>
                <w:color w:val="000000"/>
                <w:sz w:val="18"/>
                <w:szCs w:val="18"/>
              </w:rPr>
            </w:pPr>
          </w:p>
        </w:tc>
        <w:tc>
          <w:tcPr>
            <w:tcW w:w="0" w:type="auto"/>
            <w:tcBorders>
              <w:top w:val="nil"/>
              <w:left w:val="nil"/>
              <w:bottom w:val="nil"/>
              <w:right w:val="nil"/>
            </w:tcBorders>
            <w:noWrap/>
            <w:vAlign w:val="center"/>
          </w:tcPr>
          <w:p w14:paraId="1350691F">
            <w:pPr>
              <w:jc w:val="center"/>
              <w:rPr>
                <w:rFonts w:ascii="宋体" w:hAnsi="宋体" w:cs="宋体"/>
                <w:color w:val="000000"/>
                <w:sz w:val="18"/>
                <w:szCs w:val="18"/>
              </w:rPr>
            </w:pPr>
          </w:p>
        </w:tc>
        <w:tc>
          <w:tcPr>
            <w:tcW w:w="0" w:type="auto"/>
            <w:tcBorders>
              <w:top w:val="nil"/>
              <w:left w:val="nil"/>
              <w:bottom w:val="single" w:color="000000" w:sz="4" w:space="0"/>
              <w:right w:val="nil"/>
            </w:tcBorders>
            <w:noWrap/>
            <w:vAlign w:val="center"/>
          </w:tcPr>
          <w:p w14:paraId="65608681">
            <w:pPr>
              <w:jc w:val="right"/>
              <w:rPr>
                <w:rFonts w:ascii="宋体" w:hAnsi="宋体" w:cs="宋体"/>
                <w:color w:val="000000"/>
                <w:sz w:val="18"/>
                <w:szCs w:val="18"/>
              </w:rPr>
            </w:pPr>
          </w:p>
        </w:tc>
        <w:tc>
          <w:tcPr>
            <w:tcW w:w="0" w:type="auto"/>
            <w:tcBorders>
              <w:top w:val="nil"/>
              <w:left w:val="nil"/>
              <w:bottom w:val="nil"/>
              <w:right w:val="nil"/>
            </w:tcBorders>
            <w:noWrap/>
            <w:vAlign w:val="bottom"/>
          </w:tcPr>
          <w:p w14:paraId="22BE8013">
            <w:pPr>
              <w:widowControl/>
              <w:jc w:val="right"/>
              <w:textAlignment w:val="bottom"/>
              <w:rPr>
                <w:rFonts w:ascii="Calibri" w:hAnsi="Calibri" w:cs="Calibri"/>
                <w:color w:val="000000"/>
                <w:sz w:val="18"/>
                <w:szCs w:val="18"/>
              </w:rPr>
            </w:pPr>
            <w:r>
              <w:rPr>
                <w:rFonts w:ascii="Calibri" w:hAnsi="Calibri" w:cs="Calibri"/>
                <w:color w:val="000000"/>
                <w:kern w:val="0"/>
                <w:sz w:val="18"/>
                <w:szCs w:val="18"/>
              </w:rPr>
              <w:t>单位：万元</w:t>
            </w:r>
          </w:p>
        </w:tc>
      </w:tr>
      <w:tr w14:paraId="01709A88">
        <w:tblPrEx>
          <w:tblCellMar>
            <w:top w:w="0" w:type="dxa"/>
            <w:left w:w="108" w:type="dxa"/>
            <w:bottom w:w="0" w:type="dxa"/>
            <w:right w:w="108" w:type="dxa"/>
          </w:tblCellMar>
        </w:tblPrEx>
        <w:trPr>
          <w:trHeight w:val="595" w:hRule="atLeast"/>
        </w:trPr>
        <w:tc>
          <w:tcPr>
            <w:tcW w:w="2908" w:type="dxa"/>
            <w:tcBorders>
              <w:top w:val="single" w:color="000000" w:sz="4" w:space="0"/>
              <w:left w:val="single" w:color="000000" w:sz="4" w:space="0"/>
              <w:bottom w:val="single" w:color="000000" w:sz="4" w:space="0"/>
              <w:right w:val="single" w:color="000000" w:sz="4" w:space="0"/>
            </w:tcBorders>
            <w:noWrap/>
            <w:vAlign w:val="center"/>
          </w:tcPr>
          <w:p w14:paraId="26DF38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798EA5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一级目录</w:t>
            </w:r>
          </w:p>
        </w:tc>
        <w:tc>
          <w:tcPr>
            <w:tcW w:w="1715" w:type="dxa"/>
            <w:tcBorders>
              <w:top w:val="single" w:color="000000" w:sz="4" w:space="0"/>
              <w:left w:val="single" w:color="000000" w:sz="4" w:space="0"/>
              <w:bottom w:val="single" w:color="000000" w:sz="4" w:space="0"/>
              <w:right w:val="single" w:color="000000" w:sz="4" w:space="0"/>
            </w:tcBorders>
            <w:noWrap/>
            <w:vAlign w:val="center"/>
          </w:tcPr>
          <w:p w14:paraId="3F39C3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二级目录</w:t>
            </w:r>
          </w:p>
        </w:tc>
        <w:tc>
          <w:tcPr>
            <w:tcW w:w="2716" w:type="dxa"/>
            <w:tcBorders>
              <w:top w:val="single" w:color="000000" w:sz="4" w:space="0"/>
              <w:left w:val="single" w:color="000000" w:sz="4" w:space="0"/>
              <w:bottom w:val="single" w:color="000000" w:sz="4" w:space="0"/>
              <w:right w:val="single" w:color="000000" w:sz="4" w:space="0"/>
            </w:tcBorders>
            <w:noWrap/>
            <w:vAlign w:val="center"/>
          </w:tcPr>
          <w:p w14:paraId="28C486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三级目录</w:t>
            </w:r>
          </w:p>
        </w:tc>
        <w:tc>
          <w:tcPr>
            <w:tcW w:w="1947" w:type="dxa"/>
            <w:tcBorders>
              <w:top w:val="single" w:color="000000" w:sz="4" w:space="0"/>
              <w:left w:val="single" w:color="000000" w:sz="4" w:space="0"/>
              <w:bottom w:val="single" w:color="000000" w:sz="4" w:space="0"/>
              <w:right w:val="single" w:color="000000" w:sz="4" w:space="0"/>
            </w:tcBorders>
            <w:noWrap/>
            <w:vAlign w:val="center"/>
          </w:tcPr>
          <w:p w14:paraId="6ADC9A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政府购买服务内容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E158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购买数量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300125">
            <w:pPr>
              <w:widowControl/>
              <w:jc w:val="center"/>
              <w:textAlignment w:val="center"/>
              <w:rPr>
                <w:rFonts w:ascii="Calibri" w:hAnsi="Calibri" w:cs="Calibri"/>
                <w:color w:val="000000"/>
                <w:sz w:val="20"/>
                <w:szCs w:val="20"/>
              </w:rPr>
            </w:pPr>
            <w:r>
              <w:rPr>
                <w:rFonts w:ascii="Calibri" w:hAnsi="Calibri" w:cs="Calibri"/>
                <w:color w:val="000000"/>
                <w:kern w:val="0"/>
                <w:sz w:val="20"/>
                <w:szCs w:val="20"/>
              </w:rPr>
              <w:t>购买金额</w:t>
            </w:r>
          </w:p>
        </w:tc>
      </w:tr>
      <w:tr w14:paraId="7A60FD8C">
        <w:tblPrEx>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E39434">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526BAB">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417DD">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0DD65">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562649">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BB84EA">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F40DA">
            <w:pPr>
              <w:widowControl/>
              <w:jc w:val="right"/>
              <w:textAlignment w:val="center"/>
              <w:rPr>
                <w:rFonts w:ascii="Calibri" w:hAnsi="Calibri" w:cs="Calibri"/>
                <w:color w:val="000000"/>
                <w:sz w:val="18"/>
                <w:szCs w:val="18"/>
              </w:rPr>
            </w:pPr>
            <w:r>
              <w:rPr>
                <w:rFonts w:ascii="Calibri" w:hAnsi="Calibri" w:cs="Calibri"/>
                <w:color w:val="000000"/>
                <w:kern w:val="0"/>
                <w:sz w:val="18"/>
                <w:szCs w:val="18"/>
              </w:rPr>
              <w:t>4.70</w:t>
            </w:r>
          </w:p>
        </w:tc>
      </w:tr>
      <w:tr w14:paraId="73E765D5">
        <w:tblPrEx>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481086">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市委市政府相关领导组工作经费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F4E163">
            <w:pPr>
              <w:widowControl/>
              <w:jc w:val="left"/>
              <w:textAlignment w:val="center"/>
              <w:rPr>
                <w:rFonts w:ascii="Calibri" w:hAnsi="Calibri" w:cs="Calibri"/>
                <w:color w:val="000000"/>
                <w:sz w:val="22"/>
                <w:szCs w:val="22"/>
              </w:rPr>
            </w:pPr>
            <w:r>
              <w:rPr>
                <w:rFonts w:ascii="Calibri" w:hAnsi="Calibri" w:cs="Calibri"/>
                <w:color w:val="000000"/>
                <w:kern w:val="0"/>
                <w:sz w:val="22"/>
                <w:szCs w:val="22"/>
              </w:rPr>
              <w:t>政府履职辅助性服务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BEABE8">
            <w:pPr>
              <w:widowControl/>
              <w:jc w:val="left"/>
              <w:textAlignment w:val="center"/>
              <w:rPr>
                <w:rFonts w:ascii="Calibri" w:hAnsi="Calibri" w:cs="Calibri"/>
                <w:color w:val="000000"/>
                <w:sz w:val="22"/>
                <w:szCs w:val="22"/>
              </w:rPr>
            </w:pPr>
            <w:r>
              <w:rPr>
                <w:rFonts w:ascii="Calibri" w:hAnsi="Calibri" w:cs="Calibri"/>
                <w:color w:val="000000"/>
                <w:kern w:val="0"/>
                <w:sz w:val="22"/>
                <w:szCs w:val="22"/>
              </w:rPr>
              <w:t>信息化服务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AE1F2">
            <w:pPr>
              <w:widowControl/>
              <w:jc w:val="left"/>
              <w:textAlignment w:val="center"/>
              <w:rPr>
                <w:rFonts w:ascii="Calibri" w:hAnsi="Calibri" w:cs="Calibri"/>
                <w:color w:val="000000"/>
                <w:sz w:val="22"/>
                <w:szCs w:val="22"/>
              </w:rPr>
            </w:pPr>
            <w:r>
              <w:rPr>
                <w:rFonts w:ascii="Calibri" w:hAnsi="Calibri" w:cs="Calibri"/>
                <w:color w:val="000000"/>
                <w:kern w:val="0"/>
                <w:sz w:val="22"/>
                <w:szCs w:val="22"/>
              </w:rPr>
              <w:t>网络接入服务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A1F34">
            <w:pPr>
              <w:widowControl/>
              <w:jc w:val="left"/>
              <w:textAlignment w:val="center"/>
              <w:rPr>
                <w:rFonts w:ascii="Calibri" w:hAnsi="Calibri" w:cs="Calibri"/>
                <w:color w:val="000000"/>
                <w:sz w:val="22"/>
                <w:szCs w:val="22"/>
              </w:rPr>
            </w:pPr>
            <w:r>
              <w:rPr>
                <w:rFonts w:ascii="Calibri" w:hAnsi="Calibri" w:cs="Calibri"/>
                <w:color w:val="000000"/>
                <w:kern w:val="0"/>
                <w:sz w:val="22"/>
                <w:szCs w:val="22"/>
              </w:rPr>
              <w:t>网络服务费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5961D4">
            <w:pPr>
              <w:widowControl/>
              <w:jc w:val="left"/>
              <w:textAlignment w:val="center"/>
              <w:rPr>
                <w:rFonts w:ascii="Calibri" w:hAnsi="Calibri" w:cs="Calibri"/>
                <w:color w:val="000000"/>
                <w:sz w:val="22"/>
                <w:szCs w:val="22"/>
              </w:rPr>
            </w:pPr>
            <w:r>
              <w:rPr>
                <w:rFonts w:ascii="Calibri" w:hAnsi="Calibri" w:cs="Calibri"/>
                <w:color w:val="000000"/>
                <w:kern w:val="0"/>
                <w:sz w:val="22"/>
                <w:szCs w:val="22"/>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05B0EA">
            <w:pPr>
              <w:widowControl/>
              <w:jc w:val="right"/>
              <w:textAlignment w:val="center"/>
              <w:rPr>
                <w:rFonts w:ascii="Calibri" w:hAnsi="Calibri" w:cs="Calibri"/>
                <w:color w:val="000000"/>
                <w:sz w:val="18"/>
                <w:szCs w:val="18"/>
              </w:rPr>
            </w:pPr>
            <w:r>
              <w:rPr>
                <w:rFonts w:ascii="Calibri" w:hAnsi="Calibri" w:cs="Calibri"/>
                <w:color w:val="000000"/>
                <w:kern w:val="0"/>
                <w:sz w:val="18"/>
                <w:szCs w:val="18"/>
              </w:rPr>
              <w:t>0.30</w:t>
            </w:r>
          </w:p>
        </w:tc>
      </w:tr>
      <w:tr w14:paraId="608B3EAE">
        <w:tblPrEx>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1795F8">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市委市政府相关领导组工作经费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9FF29">
            <w:pPr>
              <w:widowControl/>
              <w:jc w:val="left"/>
              <w:textAlignment w:val="center"/>
              <w:rPr>
                <w:rFonts w:ascii="Calibri" w:hAnsi="Calibri" w:cs="Calibri"/>
                <w:color w:val="000000"/>
                <w:sz w:val="22"/>
                <w:szCs w:val="22"/>
              </w:rPr>
            </w:pPr>
            <w:r>
              <w:rPr>
                <w:rFonts w:ascii="Calibri" w:hAnsi="Calibri" w:cs="Calibri"/>
                <w:color w:val="000000"/>
                <w:kern w:val="0"/>
                <w:sz w:val="22"/>
                <w:szCs w:val="22"/>
              </w:rPr>
              <w:t>政府履职辅助性服务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8871B">
            <w:pPr>
              <w:widowControl/>
              <w:jc w:val="left"/>
              <w:textAlignment w:val="center"/>
              <w:rPr>
                <w:rFonts w:ascii="Calibri" w:hAnsi="Calibri" w:cs="Calibri"/>
                <w:color w:val="000000"/>
                <w:sz w:val="22"/>
                <w:szCs w:val="22"/>
              </w:rPr>
            </w:pPr>
            <w:r>
              <w:rPr>
                <w:rFonts w:ascii="Calibri" w:hAnsi="Calibri" w:cs="Calibri"/>
                <w:color w:val="000000"/>
                <w:kern w:val="0"/>
                <w:sz w:val="22"/>
                <w:szCs w:val="22"/>
              </w:rPr>
              <w:t>会计审计服务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CD3434">
            <w:pPr>
              <w:widowControl/>
              <w:jc w:val="left"/>
              <w:textAlignment w:val="center"/>
              <w:rPr>
                <w:rFonts w:ascii="Calibri" w:hAnsi="Calibri" w:cs="Calibri"/>
                <w:color w:val="000000"/>
                <w:sz w:val="22"/>
                <w:szCs w:val="22"/>
              </w:rPr>
            </w:pPr>
            <w:r>
              <w:rPr>
                <w:rFonts w:ascii="Calibri" w:hAnsi="Calibri" w:cs="Calibri"/>
                <w:color w:val="000000"/>
                <w:kern w:val="0"/>
                <w:sz w:val="22"/>
                <w:szCs w:val="22"/>
              </w:rPr>
              <w:t>会计服务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F8099F">
            <w:pPr>
              <w:widowControl/>
              <w:jc w:val="left"/>
              <w:textAlignment w:val="center"/>
              <w:rPr>
                <w:rFonts w:ascii="Calibri" w:hAnsi="Calibri" w:cs="Calibri"/>
                <w:color w:val="000000"/>
                <w:sz w:val="22"/>
                <w:szCs w:val="22"/>
              </w:rPr>
            </w:pPr>
            <w:r>
              <w:rPr>
                <w:rFonts w:ascii="Calibri" w:hAnsi="Calibri" w:cs="Calibri"/>
                <w:color w:val="000000"/>
                <w:kern w:val="0"/>
                <w:sz w:val="22"/>
                <w:szCs w:val="22"/>
              </w:rPr>
              <w:t>代理记账费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C6ACE9">
            <w:pPr>
              <w:widowControl/>
              <w:jc w:val="left"/>
              <w:textAlignment w:val="center"/>
              <w:rPr>
                <w:rFonts w:ascii="Calibri" w:hAnsi="Calibri" w:cs="Calibri"/>
                <w:color w:val="000000"/>
                <w:sz w:val="22"/>
                <w:szCs w:val="22"/>
              </w:rPr>
            </w:pPr>
            <w:r>
              <w:rPr>
                <w:rFonts w:ascii="Calibri" w:hAnsi="Calibri" w:cs="Calibri"/>
                <w:color w:val="000000"/>
                <w:kern w:val="0"/>
                <w:sz w:val="22"/>
                <w:szCs w:val="22"/>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19EC19">
            <w:pPr>
              <w:widowControl/>
              <w:jc w:val="right"/>
              <w:textAlignment w:val="center"/>
              <w:rPr>
                <w:rFonts w:ascii="Calibri" w:hAnsi="Calibri" w:cs="Calibri"/>
                <w:color w:val="000000"/>
                <w:sz w:val="18"/>
                <w:szCs w:val="18"/>
              </w:rPr>
            </w:pPr>
            <w:r>
              <w:rPr>
                <w:rFonts w:ascii="Calibri" w:hAnsi="Calibri" w:cs="Calibri"/>
                <w:color w:val="000000"/>
                <w:kern w:val="0"/>
                <w:sz w:val="18"/>
                <w:szCs w:val="18"/>
              </w:rPr>
              <w:t>2.60</w:t>
            </w:r>
          </w:p>
        </w:tc>
      </w:tr>
      <w:tr w14:paraId="5E105F4A">
        <w:tblPrEx>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7CEA7F">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市委市政府相关领导组工作经费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A1048">
            <w:pPr>
              <w:widowControl/>
              <w:jc w:val="left"/>
              <w:textAlignment w:val="center"/>
              <w:rPr>
                <w:rFonts w:ascii="Calibri" w:hAnsi="Calibri" w:cs="Calibri"/>
                <w:color w:val="000000"/>
                <w:sz w:val="22"/>
                <w:szCs w:val="22"/>
              </w:rPr>
            </w:pPr>
            <w:r>
              <w:rPr>
                <w:rFonts w:ascii="Calibri" w:hAnsi="Calibri" w:cs="Calibri"/>
                <w:color w:val="000000"/>
                <w:kern w:val="0"/>
                <w:sz w:val="22"/>
                <w:szCs w:val="22"/>
              </w:rPr>
              <w:t>政府履职辅助性服务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AE3931">
            <w:pPr>
              <w:widowControl/>
              <w:jc w:val="left"/>
              <w:textAlignment w:val="center"/>
              <w:rPr>
                <w:rFonts w:ascii="Calibri" w:hAnsi="Calibri" w:cs="Calibri"/>
                <w:color w:val="000000"/>
                <w:sz w:val="22"/>
                <w:szCs w:val="22"/>
              </w:rPr>
            </w:pPr>
            <w:r>
              <w:rPr>
                <w:rFonts w:ascii="Calibri" w:hAnsi="Calibri" w:cs="Calibri"/>
                <w:color w:val="000000"/>
                <w:kern w:val="0"/>
                <w:sz w:val="22"/>
                <w:szCs w:val="22"/>
              </w:rPr>
              <w:t>信息化服务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4E6FB">
            <w:pPr>
              <w:widowControl/>
              <w:jc w:val="left"/>
              <w:textAlignment w:val="center"/>
              <w:rPr>
                <w:rFonts w:ascii="Calibri" w:hAnsi="Calibri" w:cs="Calibri"/>
                <w:color w:val="000000"/>
                <w:sz w:val="22"/>
                <w:szCs w:val="22"/>
              </w:rPr>
            </w:pPr>
            <w:r>
              <w:rPr>
                <w:rFonts w:ascii="Calibri" w:hAnsi="Calibri" w:cs="Calibri"/>
                <w:color w:val="000000"/>
                <w:kern w:val="0"/>
                <w:sz w:val="22"/>
                <w:szCs w:val="22"/>
              </w:rPr>
              <w:t>机关信息系统开发与维护服务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35CC89">
            <w:pPr>
              <w:widowControl/>
              <w:jc w:val="left"/>
              <w:textAlignment w:val="center"/>
              <w:rPr>
                <w:rFonts w:ascii="Calibri" w:hAnsi="Calibri" w:cs="Calibri"/>
                <w:color w:val="000000"/>
                <w:sz w:val="22"/>
                <w:szCs w:val="22"/>
              </w:rPr>
            </w:pPr>
            <w:r>
              <w:rPr>
                <w:rFonts w:ascii="Calibri" w:hAnsi="Calibri" w:cs="Calibri"/>
                <w:color w:val="000000"/>
                <w:kern w:val="0"/>
                <w:sz w:val="22"/>
                <w:szCs w:val="22"/>
              </w:rPr>
              <w:t>会计核算云运维服务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311B92">
            <w:pPr>
              <w:widowControl/>
              <w:jc w:val="left"/>
              <w:textAlignment w:val="center"/>
              <w:rPr>
                <w:rFonts w:ascii="Calibri" w:hAnsi="Calibri" w:cs="Calibri"/>
                <w:color w:val="000000"/>
                <w:sz w:val="22"/>
                <w:szCs w:val="22"/>
              </w:rPr>
            </w:pPr>
            <w:r>
              <w:rPr>
                <w:rFonts w:ascii="Calibri" w:hAnsi="Calibri" w:cs="Calibri"/>
                <w:color w:val="000000"/>
                <w:kern w:val="0"/>
                <w:sz w:val="22"/>
                <w:szCs w:val="22"/>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9ED2B">
            <w:pPr>
              <w:widowControl/>
              <w:jc w:val="right"/>
              <w:textAlignment w:val="center"/>
              <w:rPr>
                <w:rFonts w:ascii="Calibri" w:hAnsi="Calibri" w:cs="Calibri"/>
                <w:color w:val="000000"/>
                <w:sz w:val="18"/>
                <w:szCs w:val="18"/>
              </w:rPr>
            </w:pPr>
            <w:r>
              <w:rPr>
                <w:rFonts w:ascii="Calibri" w:hAnsi="Calibri" w:cs="Calibri"/>
                <w:color w:val="000000"/>
                <w:kern w:val="0"/>
                <w:sz w:val="18"/>
                <w:szCs w:val="18"/>
              </w:rPr>
              <w:t>0.40</w:t>
            </w:r>
          </w:p>
        </w:tc>
      </w:tr>
      <w:tr w14:paraId="398B2A00">
        <w:tblPrEx>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05FC4B">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市委市政府相关领导组工作经费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598BE3">
            <w:pPr>
              <w:widowControl/>
              <w:jc w:val="left"/>
              <w:textAlignment w:val="center"/>
              <w:rPr>
                <w:rFonts w:ascii="Calibri" w:hAnsi="Calibri" w:cs="Calibri"/>
                <w:color w:val="000000"/>
                <w:sz w:val="22"/>
                <w:szCs w:val="22"/>
              </w:rPr>
            </w:pPr>
            <w:r>
              <w:rPr>
                <w:rFonts w:ascii="Calibri" w:hAnsi="Calibri" w:cs="Calibri"/>
                <w:color w:val="000000"/>
                <w:kern w:val="0"/>
                <w:sz w:val="22"/>
                <w:szCs w:val="22"/>
              </w:rPr>
              <w:t>政府履职辅助性服务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2E360">
            <w:pPr>
              <w:widowControl/>
              <w:jc w:val="left"/>
              <w:textAlignment w:val="center"/>
              <w:rPr>
                <w:rFonts w:ascii="Calibri" w:hAnsi="Calibri" w:cs="Calibri"/>
                <w:color w:val="000000"/>
                <w:sz w:val="22"/>
                <w:szCs w:val="22"/>
              </w:rPr>
            </w:pPr>
            <w:r>
              <w:rPr>
                <w:rFonts w:ascii="Calibri" w:hAnsi="Calibri" w:cs="Calibri"/>
                <w:color w:val="000000"/>
                <w:kern w:val="0"/>
                <w:sz w:val="22"/>
                <w:szCs w:val="22"/>
              </w:rPr>
              <w:t>法律服务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C51FA">
            <w:pPr>
              <w:widowControl/>
              <w:jc w:val="left"/>
              <w:textAlignment w:val="center"/>
              <w:rPr>
                <w:rFonts w:ascii="Calibri" w:hAnsi="Calibri" w:cs="Calibri"/>
                <w:color w:val="000000"/>
                <w:sz w:val="22"/>
                <w:szCs w:val="22"/>
              </w:rPr>
            </w:pPr>
            <w:r>
              <w:rPr>
                <w:rFonts w:ascii="Calibri" w:hAnsi="Calibri" w:cs="Calibri"/>
                <w:color w:val="000000"/>
                <w:kern w:val="0"/>
                <w:sz w:val="22"/>
                <w:szCs w:val="22"/>
              </w:rPr>
              <w:t>法律顾问服务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EEA410">
            <w:pPr>
              <w:widowControl/>
              <w:jc w:val="left"/>
              <w:textAlignment w:val="center"/>
              <w:rPr>
                <w:rFonts w:ascii="Calibri" w:hAnsi="Calibri" w:cs="Calibri"/>
                <w:color w:val="000000"/>
                <w:sz w:val="22"/>
                <w:szCs w:val="22"/>
              </w:rPr>
            </w:pPr>
            <w:r>
              <w:rPr>
                <w:rFonts w:ascii="Calibri" w:hAnsi="Calibri" w:cs="Calibri"/>
                <w:color w:val="000000"/>
                <w:kern w:val="0"/>
                <w:sz w:val="22"/>
                <w:szCs w:val="22"/>
              </w:rPr>
              <w:t>法律顾问费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98CF23">
            <w:pPr>
              <w:widowControl/>
              <w:jc w:val="left"/>
              <w:textAlignment w:val="center"/>
              <w:rPr>
                <w:rFonts w:ascii="Calibri" w:hAnsi="Calibri" w:cs="Calibri"/>
                <w:color w:val="000000"/>
                <w:sz w:val="22"/>
                <w:szCs w:val="22"/>
              </w:rPr>
            </w:pPr>
            <w:r>
              <w:rPr>
                <w:rFonts w:ascii="Calibri" w:hAnsi="Calibri" w:cs="Calibri"/>
                <w:color w:val="000000"/>
                <w:kern w:val="0"/>
                <w:sz w:val="22"/>
                <w:szCs w:val="22"/>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0AFF74">
            <w:pPr>
              <w:widowControl/>
              <w:jc w:val="right"/>
              <w:textAlignment w:val="center"/>
              <w:rPr>
                <w:rFonts w:ascii="Calibri" w:hAnsi="Calibri" w:cs="Calibri"/>
                <w:color w:val="000000"/>
                <w:sz w:val="18"/>
                <w:szCs w:val="18"/>
              </w:rPr>
            </w:pPr>
            <w:r>
              <w:rPr>
                <w:rFonts w:ascii="Calibri" w:hAnsi="Calibri" w:cs="Calibri"/>
                <w:color w:val="000000"/>
                <w:kern w:val="0"/>
                <w:sz w:val="18"/>
                <w:szCs w:val="18"/>
              </w:rPr>
              <w:t>0.80</w:t>
            </w:r>
          </w:p>
        </w:tc>
      </w:tr>
      <w:tr w14:paraId="2EAB07ED">
        <w:tblPrEx>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8AFF2F">
            <w:pPr>
              <w:widowControl/>
              <w:jc w:val="left"/>
              <w:textAlignment w:val="center"/>
              <w:rPr>
                <w:rFonts w:ascii="Calibri" w:hAnsi="Calibri" w:cs="Calibri"/>
                <w:color w:val="000000"/>
                <w:sz w:val="22"/>
                <w:szCs w:val="22"/>
              </w:rPr>
            </w:pPr>
            <w:r>
              <w:rPr>
                <w:rFonts w:ascii="Calibri" w:hAnsi="Calibri" w:cs="Calibri"/>
                <w:color w:val="000000"/>
                <w:kern w:val="0"/>
                <w:sz w:val="22"/>
                <w:szCs w:val="22"/>
              </w:rPr>
              <w:t>市委市政府相关领导组工作经费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BBE627">
            <w:pPr>
              <w:widowControl/>
              <w:jc w:val="left"/>
              <w:textAlignment w:val="center"/>
              <w:rPr>
                <w:rFonts w:ascii="Calibri" w:hAnsi="Calibri" w:cs="Calibri"/>
                <w:color w:val="000000"/>
                <w:sz w:val="22"/>
                <w:szCs w:val="22"/>
              </w:rPr>
            </w:pPr>
            <w:r>
              <w:rPr>
                <w:rFonts w:ascii="Calibri" w:hAnsi="Calibri" w:cs="Calibri"/>
                <w:color w:val="000000"/>
                <w:kern w:val="0"/>
                <w:sz w:val="22"/>
                <w:szCs w:val="22"/>
              </w:rPr>
              <w:t>政府履职辅助性服务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AD8A2">
            <w:pPr>
              <w:widowControl/>
              <w:jc w:val="left"/>
              <w:textAlignment w:val="center"/>
              <w:rPr>
                <w:rFonts w:ascii="Calibri" w:hAnsi="Calibri" w:cs="Calibri"/>
                <w:color w:val="000000"/>
                <w:sz w:val="22"/>
                <w:szCs w:val="22"/>
              </w:rPr>
            </w:pPr>
            <w:r>
              <w:rPr>
                <w:rFonts w:ascii="Calibri" w:hAnsi="Calibri" w:cs="Calibri"/>
                <w:color w:val="000000"/>
                <w:kern w:val="0"/>
                <w:sz w:val="22"/>
                <w:szCs w:val="22"/>
              </w:rPr>
              <w:t>信息化服务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8B9D9">
            <w:pPr>
              <w:widowControl/>
              <w:jc w:val="left"/>
              <w:textAlignment w:val="center"/>
              <w:rPr>
                <w:rFonts w:ascii="Calibri" w:hAnsi="Calibri" w:cs="Calibri"/>
                <w:color w:val="000000"/>
                <w:sz w:val="22"/>
                <w:szCs w:val="22"/>
              </w:rPr>
            </w:pPr>
            <w:r>
              <w:rPr>
                <w:rFonts w:ascii="Calibri" w:hAnsi="Calibri" w:cs="Calibri"/>
                <w:color w:val="000000"/>
                <w:kern w:val="0"/>
                <w:sz w:val="22"/>
                <w:szCs w:val="22"/>
              </w:rPr>
              <w:t>数据处理服务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2143E6">
            <w:pPr>
              <w:widowControl/>
              <w:jc w:val="left"/>
              <w:textAlignment w:val="center"/>
              <w:rPr>
                <w:rFonts w:ascii="Calibri" w:hAnsi="Calibri" w:cs="Calibri"/>
                <w:color w:val="000000"/>
                <w:sz w:val="22"/>
                <w:szCs w:val="22"/>
              </w:rPr>
            </w:pPr>
            <w:r>
              <w:rPr>
                <w:rFonts w:ascii="Calibri" w:hAnsi="Calibri" w:cs="Calibri"/>
                <w:color w:val="000000"/>
                <w:kern w:val="0"/>
                <w:sz w:val="22"/>
                <w:szCs w:val="22"/>
              </w:rPr>
              <w:t>网站数据加密服务费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5302A">
            <w:pPr>
              <w:widowControl/>
              <w:jc w:val="left"/>
              <w:textAlignment w:val="center"/>
              <w:rPr>
                <w:rFonts w:ascii="Calibri" w:hAnsi="Calibri" w:cs="Calibri"/>
                <w:color w:val="000000"/>
                <w:sz w:val="22"/>
                <w:szCs w:val="22"/>
              </w:rPr>
            </w:pPr>
            <w:r>
              <w:rPr>
                <w:rFonts w:ascii="Calibri" w:hAnsi="Calibri" w:cs="Calibri"/>
                <w:color w:val="000000"/>
                <w:kern w:val="0"/>
                <w:sz w:val="22"/>
                <w:szCs w:val="22"/>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D92EF0">
            <w:pPr>
              <w:widowControl/>
              <w:jc w:val="right"/>
              <w:textAlignment w:val="center"/>
              <w:rPr>
                <w:rFonts w:ascii="Calibri" w:hAnsi="Calibri" w:cs="Calibri"/>
                <w:color w:val="000000"/>
                <w:sz w:val="18"/>
                <w:szCs w:val="18"/>
              </w:rPr>
            </w:pPr>
            <w:r>
              <w:rPr>
                <w:rFonts w:ascii="Calibri" w:hAnsi="Calibri" w:cs="Calibri"/>
                <w:color w:val="000000"/>
                <w:kern w:val="0"/>
                <w:sz w:val="18"/>
                <w:szCs w:val="18"/>
              </w:rPr>
              <w:t>0.60</w:t>
            </w:r>
          </w:p>
        </w:tc>
      </w:tr>
      <w:tr w14:paraId="0D9F9B0F">
        <w:tblPrEx>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6DA93C09">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1B9E5BD">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7392E9C">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797C0AF">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20EECF9">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C1C8A32">
            <w:pPr>
              <w:rPr>
                <w:rFonts w:ascii="Calibri" w:hAnsi="Calibri" w:cs="Calibri"/>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BA7F5D6">
            <w:pPr>
              <w:rPr>
                <w:rFonts w:ascii="Calibri" w:hAnsi="Calibri" w:cs="Calibri"/>
                <w:color w:val="000000"/>
                <w:sz w:val="22"/>
                <w:szCs w:val="22"/>
              </w:rPr>
            </w:pPr>
          </w:p>
        </w:tc>
      </w:tr>
    </w:tbl>
    <w:p w14:paraId="15F843C8">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646628C7">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4D758B5F">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3D71C090">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tbl>
      <w:tblPr>
        <w:tblStyle w:val="10"/>
        <w:tblW w:w="14081" w:type="dxa"/>
        <w:tblInd w:w="93" w:type="dxa"/>
        <w:tblLayout w:type="fixed"/>
        <w:tblCellMar>
          <w:top w:w="0" w:type="dxa"/>
          <w:left w:w="108" w:type="dxa"/>
          <w:bottom w:w="0" w:type="dxa"/>
          <w:right w:w="108" w:type="dxa"/>
        </w:tblCellMar>
      </w:tblPr>
      <w:tblGrid>
        <w:gridCol w:w="1237"/>
        <w:gridCol w:w="2450"/>
        <w:gridCol w:w="1117"/>
        <w:gridCol w:w="3383"/>
        <w:gridCol w:w="5894"/>
      </w:tblGrid>
      <w:tr w14:paraId="35B9500C">
        <w:tblPrEx>
          <w:tblCellMar>
            <w:top w:w="0" w:type="dxa"/>
            <w:left w:w="108" w:type="dxa"/>
            <w:bottom w:w="0" w:type="dxa"/>
            <w:right w:w="108" w:type="dxa"/>
          </w:tblCellMar>
        </w:tblPrEx>
        <w:trPr>
          <w:trHeight w:val="132" w:hRule="atLeast"/>
        </w:trPr>
        <w:tc>
          <w:tcPr>
            <w:tcW w:w="1237" w:type="dxa"/>
            <w:tcBorders>
              <w:top w:val="nil"/>
              <w:left w:val="nil"/>
              <w:bottom w:val="nil"/>
              <w:right w:val="nil"/>
            </w:tcBorders>
            <w:noWrap/>
            <w:vAlign w:val="center"/>
          </w:tcPr>
          <w:p w14:paraId="411784D5">
            <w:pPr>
              <w:rPr>
                <w:rFonts w:ascii="宋体" w:hAnsi="宋体" w:cs="宋体"/>
                <w:color w:val="000000"/>
                <w:sz w:val="18"/>
                <w:szCs w:val="18"/>
              </w:rPr>
            </w:pPr>
          </w:p>
        </w:tc>
        <w:tc>
          <w:tcPr>
            <w:tcW w:w="2450" w:type="dxa"/>
            <w:tcBorders>
              <w:top w:val="nil"/>
              <w:left w:val="nil"/>
              <w:bottom w:val="nil"/>
              <w:right w:val="nil"/>
            </w:tcBorders>
            <w:noWrap/>
            <w:vAlign w:val="center"/>
          </w:tcPr>
          <w:p w14:paraId="54A91E46">
            <w:pPr>
              <w:rPr>
                <w:rFonts w:ascii="宋体" w:hAnsi="宋体" w:cs="宋体"/>
                <w:color w:val="000000"/>
                <w:sz w:val="18"/>
                <w:szCs w:val="18"/>
              </w:rPr>
            </w:pPr>
          </w:p>
        </w:tc>
        <w:tc>
          <w:tcPr>
            <w:tcW w:w="1117" w:type="dxa"/>
            <w:tcBorders>
              <w:top w:val="nil"/>
              <w:left w:val="nil"/>
              <w:bottom w:val="nil"/>
              <w:right w:val="nil"/>
            </w:tcBorders>
            <w:noWrap/>
            <w:vAlign w:val="center"/>
          </w:tcPr>
          <w:p w14:paraId="6E337316">
            <w:pPr>
              <w:rPr>
                <w:rFonts w:ascii="宋体" w:hAnsi="宋体" w:cs="宋体"/>
                <w:color w:val="000000"/>
                <w:sz w:val="18"/>
                <w:szCs w:val="18"/>
              </w:rPr>
            </w:pPr>
          </w:p>
        </w:tc>
        <w:tc>
          <w:tcPr>
            <w:tcW w:w="3383" w:type="dxa"/>
            <w:tcBorders>
              <w:top w:val="nil"/>
              <w:left w:val="nil"/>
              <w:bottom w:val="nil"/>
              <w:right w:val="nil"/>
            </w:tcBorders>
            <w:noWrap/>
            <w:vAlign w:val="center"/>
          </w:tcPr>
          <w:p w14:paraId="7C5A5306">
            <w:pPr>
              <w:rPr>
                <w:rFonts w:ascii="宋体" w:hAnsi="宋体" w:cs="宋体"/>
                <w:color w:val="000000"/>
                <w:sz w:val="18"/>
                <w:szCs w:val="18"/>
              </w:rPr>
            </w:pPr>
          </w:p>
        </w:tc>
        <w:tc>
          <w:tcPr>
            <w:tcW w:w="5894" w:type="dxa"/>
            <w:tcBorders>
              <w:top w:val="nil"/>
              <w:left w:val="nil"/>
              <w:bottom w:val="nil"/>
              <w:right w:val="nil"/>
            </w:tcBorders>
            <w:noWrap/>
            <w:vAlign w:val="center"/>
          </w:tcPr>
          <w:p w14:paraId="723F3368">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部门（单位）公开表13       </w:t>
            </w:r>
          </w:p>
        </w:tc>
      </w:tr>
      <w:tr w14:paraId="3DD78DA0">
        <w:tblPrEx>
          <w:tblCellMar>
            <w:top w:w="0" w:type="dxa"/>
            <w:left w:w="108" w:type="dxa"/>
            <w:bottom w:w="0" w:type="dxa"/>
            <w:right w:w="108" w:type="dxa"/>
          </w:tblCellMar>
        </w:tblPrEx>
        <w:trPr>
          <w:trHeight w:val="318" w:hRule="atLeast"/>
        </w:trPr>
        <w:tc>
          <w:tcPr>
            <w:tcW w:w="14081" w:type="dxa"/>
            <w:gridSpan w:val="5"/>
            <w:tcBorders>
              <w:top w:val="nil"/>
              <w:left w:val="nil"/>
              <w:bottom w:val="nil"/>
              <w:right w:val="nil"/>
            </w:tcBorders>
            <w:noWrap/>
            <w:vAlign w:val="center"/>
          </w:tcPr>
          <w:p w14:paraId="3482F11B">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lang w:eastAsia="zh-CN"/>
              </w:rPr>
              <w:t>表十三、</w:t>
            </w:r>
            <w:r>
              <w:rPr>
                <w:rFonts w:hint="eastAsia" w:ascii="宋体" w:hAnsi="宋体" w:cs="宋体"/>
                <w:b/>
                <w:bCs/>
                <w:color w:val="000000"/>
                <w:kern w:val="0"/>
                <w:sz w:val="40"/>
                <w:szCs w:val="40"/>
              </w:rPr>
              <w:t>2024年部门预算项目绩效目标表</w:t>
            </w:r>
          </w:p>
        </w:tc>
      </w:tr>
      <w:tr w14:paraId="1AFB003C">
        <w:tblPrEx>
          <w:tblCellMar>
            <w:top w:w="0" w:type="dxa"/>
            <w:left w:w="108" w:type="dxa"/>
            <w:bottom w:w="0" w:type="dxa"/>
            <w:right w:w="108" w:type="dxa"/>
          </w:tblCellMar>
        </w:tblPrEx>
        <w:trPr>
          <w:trHeight w:val="132" w:hRule="atLeast"/>
        </w:trPr>
        <w:tc>
          <w:tcPr>
            <w:tcW w:w="4804" w:type="dxa"/>
            <w:gridSpan w:val="3"/>
            <w:tcBorders>
              <w:top w:val="nil"/>
              <w:left w:val="nil"/>
              <w:bottom w:val="nil"/>
              <w:right w:val="nil"/>
            </w:tcBorders>
            <w:noWrap/>
            <w:vAlign w:val="center"/>
          </w:tcPr>
          <w:p w14:paraId="1B8D3393">
            <w:pPr>
              <w:jc w:val="left"/>
              <w:rPr>
                <w:rFonts w:ascii="宋体" w:hAnsi="宋体" w:cs="宋体"/>
                <w:b/>
                <w:bCs/>
                <w:color w:val="000000"/>
                <w:sz w:val="24"/>
              </w:rPr>
            </w:pPr>
            <w:r>
              <w:rPr>
                <w:rFonts w:hint="eastAsia" w:ascii="宋体" w:hAnsi="宋体" w:cs="宋体"/>
                <w:color w:val="000000"/>
                <w:kern w:val="0"/>
                <w:sz w:val="18"/>
                <w:szCs w:val="18"/>
              </w:rPr>
              <w:t xml:space="preserve">部门名称:[077]黄山市经济和信息化局 </w:t>
            </w:r>
          </w:p>
        </w:tc>
        <w:tc>
          <w:tcPr>
            <w:tcW w:w="3383" w:type="dxa"/>
            <w:tcBorders>
              <w:top w:val="nil"/>
              <w:left w:val="nil"/>
              <w:bottom w:val="nil"/>
              <w:right w:val="nil"/>
            </w:tcBorders>
            <w:noWrap/>
            <w:vAlign w:val="center"/>
          </w:tcPr>
          <w:p w14:paraId="2234688E">
            <w:pPr>
              <w:rPr>
                <w:rFonts w:ascii="宋体" w:hAnsi="宋体" w:cs="宋体"/>
                <w:color w:val="000000"/>
                <w:sz w:val="24"/>
              </w:rPr>
            </w:pPr>
          </w:p>
        </w:tc>
        <w:tc>
          <w:tcPr>
            <w:tcW w:w="5894" w:type="dxa"/>
            <w:tcBorders>
              <w:top w:val="nil"/>
              <w:left w:val="nil"/>
              <w:bottom w:val="nil"/>
              <w:right w:val="nil"/>
            </w:tcBorders>
            <w:noWrap/>
            <w:vAlign w:val="center"/>
          </w:tcPr>
          <w:p w14:paraId="6767BF9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单位：元</w:t>
            </w:r>
          </w:p>
        </w:tc>
      </w:tr>
      <w:tr w14:paraId="4E7C55AD">
        <w:tblPrEx>
          <w:tblCellMar>
            <w:top w:w="0" w:type="dxa"/>
            <w:left w:w="108" w:type="dxa"/>
            <w:bottom w:w="0" w:type="dxa"/>
            <w:right w:w="108" w:type="dxa"/>
          </w:tblCellMar>
        </w:tblPrEx>
        <w:trPr>
          <w:trHeight w:val="269" w:hRule="atLeast"/>
        </w:trPr>
        <w:tc>
          <w:tcPr>
            <w:tcW w:w="1237" w:type="dxa"/>
            <w:tcBorders>
              <w:top w:val="single" w:color="000000" w:sz="4" w:space="0"/>
              <w:left w:val="single" w:color="000000" w:sz="4" w:space="0"/>
              <w:bottom w:val="single" w:color="000000" w:sz="4" w:space="0"/>
              <w:right w:val="single" w:color="000000" w:sz="4" w:space="0"/>
            </w:tcBorders>
            <w:noWrap/>
            <w:vAlign w:val="center"/>
          </w:tcPr>
          <w:p w14:paraId="2CB46034">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单位编码</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6B9B11D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单位名称(项目类别</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 xml:space="preserve">/支出项目) </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F4F0373">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年度预算安排</w:t>
            </w:r>
          </w:p>
        </w:tc>
        <w:tc>
          <w:tcPr>
            <w:tcW w:w="3383" w:type="dxa"/>
            <w:tcBorders>
              <w:top w:val="single" w:color="000000" w:sz="4" w:space="0"/>
              <w:left w:val="single" w:color="000000" w:sz="4" w:space="0"/>
              <w:bottom w:val="single" w:color="000000" w:sz="4" w:space="0"/>
              <w:right w:val="single" w:color="000000" w:sz="4" w:space="0"/>
            </w:tcBorders>
            <w:noWrap/>
            <w:vAlign w:val="center"/>
          </w:tcPr>
          <w:p w14:paraId="100371D4">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项目内容</w:t>
            </w:r>
          </w:p>
        </w:tc>
        <w:tc>
          <w:tcPr>
            <w:tcW w:w="5894" w:type="dxa"/>
            <w:tcBorders>
              <w:top w:val="single" w:color="000000" w:sz="4" w:space="0"/>
              <w:left w:val="single" w:color="000000" w:sz="4" w:space="0"/>
              <w:bottom w:val="single" w:color="000000" w:sz="4" w:space="0"/>
              <w:right w:val="single" w:color="000000" w:sz="4" w:space="0"/>
            </w:tcBorders>
            <w:noWrap/>
            <w:vAlign w:val="center"/>
          </w:tcPr>
          <w:p w14:paraId="7E1F036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绩效目标</w:t>
            </w:r>
          </w:p>
        </w:tc>
      </w:tr>
      <w:tr w14:paraId="3047CCF7">
        <w:tblPrEx>
          <w:tblCellMar>
            <w:top w:w="0" w:type="dxa"/>
            <w:left w:w="108" w:type="dxa"/>
            <w:bottom w:w="0" w:type="dxa"/>
            <w:right w:w="108" w:type="dxa"/>
          </w:tblCellMar>
        </w:tblPrEx>
        <w:trPr>
          <w:trHeight w:val="304" w:hRule="atLeast"/>
        </w:trPr>
        <w:tc>
          <w:tcPr>
            <w:tcW w:w="1237" w:type="dxa"/>
            <w:tcBorders>
              <w:top w:val="single" w:color="000000" w:sz="4" w:space="0"/>
              <w:left w:val="single" w:color="000000" w:sz="4" w:space="0"/>
              <w:bottom w:val="single" w:color="000000" w:sz="4" w:space="0"/>
              <w:right w:val="single" w:color="000000" w:sz="4" w:space="0"/>
            </w:tcBorders>
            <w:noWrap/>
            <w:vAlign w:val="center"/>
          </w:tcPr>
          <w:p w14:paraId="5BAC3EFB">
            <w:pPr>
              <w:jc w:val="left"/>
              <w:rPr>
                <w:rFonts w:ascii="宋体" w:hAnsi="宋体" w:cs="宋体"/>
                <w:b/>
                <w:bCs/>
                <w:color w:val="000000"/>
                <w:sz w:val="20"/>
                <w:szCs w:val="20"/>
              </w:rPr>
            </w:pP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5CE2D9EF">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黄山市经济和信息化局</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FCCF3D2">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570000</w:t>
            </w:r>
          </w:p>
        </w:tc>
        <w:tc>
          <w:tcPr>
            <w:tcW w:w="3383" w:type="dxa"/>
            <w:tcBorders>
              <w:top w:val="single" w:color="000000" w:sz="4" w:space="0"/>
              <w:left w:val="single" w:color="000000" w:sz="4" w:space="0"/>
              <w:bottom w:val="single" w:color="000000" w:sz="4" w:space="0"/>
              <w:right w:val="single" w:color="000000" w:sz="4" w:space="0"/>
            </w:tcBorders>
            <w:noWrap/>
            <w:vAlign w:val="center"/>
          </w:tcPr>
          <w:p w14:paraId="362C3F93">
            <w:pPr>
              <w:jc w:val="left"/>
              <w:rPr>
                <w:rFonts w:ascii="宋体" w:hAnsi="宋体" w:cs="宋体"/>
                <w:b/>
                <w:bCs/>
                <w:color w:val="000000"/>
                <w:sz w:val="20"/>
                <w:szCs w:val="20"/>
              </w:rPr>
            </w:pPr>
          </w:p>
        </w:tc>
        <w:tc>
          <w:tcPr>
            <w:tcW w:w="5894" w:type="dxa"/>
            <w:tcBorders>
              <w:top w:val="single" w:color="000000" w:sz="4" w:space="0"/>
              <w:left w:val="single" w:color="000000" w:sz="4" w:space="0"/>
              <w:bottom w:val="single" w:color="000000" w:sz="4" w:space="0"/>
              <w:right w:val="single" w:color="000000" w:sz="4" w:space="0"/>
            </w:tcBorders>
            <w:noWrap/>
            <w:vAlign w:val="center"/>
          </w:tcPr>
          <w:p w14:paraId="78062E4E">
            <w:pPr>
              <w:jc w:val="left"/>
              <w:rPr>
                <w:rFonts w:ascii="宋体" w:hAnsi="宋体" w:cs="宋体"/>
                <w:b/>
                <w:bCs/>
                <w:color w:val="000000"/>
                <w:sz w:val="20"/>
                <w:szCs w:val="20"/>
              </w:rPr>
            </w:pPr>
          </w:p>
        </w:tc>
      </w:tr>
      <w:tr w14:paraId="32891619">
        <w:tblPrEx>
          <w:tblCellMar>
            <w:top w:w="0" w:type="dxa"/>
            <w:left w:w="108" w:type="dxa"/>
            <w:bottom w:w="0" w:type="dxa"/>
            <w:right w:w="108" w:type="dxa"/>
          </w:tblCellMar>
        </w:tblPrEx>
        <w:trPr>
          <w:trHeight w:val="304" w:hRule="atLeast"/>
        </w:trPr>
        <w:tc>
          <w:tcPr>
            <w:tcW w:w="1237" w:type="dxa"/>
            <w:tcBorders>
              <w:top w:val="single" w:color="000000" w:sz="4" w:space="0"/>
              <w:left w:val="single" w:color="000000" w:sz="4" w:space="0"/>
              <w:bottom w:val="single" w:color="000000" w:sz="4" w:space="0"/>
              <w:right w:val="single" w:color="000000" w:sz="4" w:space="0"/>
            </w:tcBorders>
            <w:noWrap/>
            <w:vAlign w:val="center"/>
          </w:tcPr>
          <w:p w14:paraId="12D55ED7">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　077001</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767C6098">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　黄山市经济和信息化局</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012A7111">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570000</w:t>
            </w:r>
          </w:p>
        </w:tc>
        <w:tc>
          <w:tcPr>
            <w:tcW w:w="3383" w:type="dxa"/>
            <w:tcBorders>
              <w:top w:val="single" w:color="000000" w:sz="4" w:space="0"/>
              <w:left w:val="single" w:color="000000" w:sz="4" w:space="0"/>
              <w:bottom w:val="single" w:color="000000" w:sz="4" w:space="0"/>
              <w:right w:val="single" w:color="000000" w:sz="4" w:space="0"/>
            </w:tcBorders>
            <w:noWrap/>
            <w:vAlign w:val="center"/>
          </w:tcPr>
          <w:p w14:paraId="2E21CFC3">
            <w:pPr>
              <w:jc w:val="left"/>
              <w:rPr>
                <w:rFonts w:ascii="宋体" w:hAnsi="宋体" w:cs="宋体"/>
                <w:b/>
                <w:bCs/>
                <w:color w:val="000000"/>
                <w:sz w:val="20"/>
                <w:szCs w:val="20"/>
              </w:rPr>
            </w:pPr>
          </w:p>
        </w:tc>
        <w:tc>
          <w:tcPr>
            <w:tcW w:w="5894" w:type="dxa"/>
            <w:tcBorders>
              <w:top w:val="single" w:color="000000" w:sz="4" w:space="0"/>
              <w:left w:val="single" w:color="000000" w:sz="4" w:space="0"/>
              <w:bottom w:val="single" w:color="000000" w:sz="4" w:space="0"/>
              <w:right w:val="single" w:color="000000" w:sz="4" w:space="0"/>
            </w:tcBorders>
            <w:noWrap/>
            <w:vAlign w:val="center"/>
          </w:tcPr>
          <w:p w14:paraId="23CEDCD7">
            <w:pPr>
              <w:jc w:val="left"/>
              <w:rPr>
                <w:rFonts w:ascii="宋体" w:hAnsi="宋体" w:cs="宋体"/>
                <w:b/>
                <w:bCs/>
                <w:color w:val="000000"/>
                <w:sz w:val="20"/>
                <w:szCs w:val="20"/>
              </w:rPr>
            </w:pPr>
          </w:p>
        </w:tc>
      </w:tr>
      <w:tr w14:paraId="03B2D0E3">
        <w:tblPrEx>
          <w:tblCellMar>
            <w:top w:w="0" w:type="dxa"/>
            <w:left w:w="108" w:type="dxa"/>
            <w:bottom w:w="0" w:type="dxa"/>
            <w:right w:w="108" w:type="dxa"/>
          </w:tblCellMar>
        </w:tblPrEx>
        <w:trPr>
          <w:trHeight w:val="304" w:hRule="atLeast"/>
        </w:trPr>
        <w:tc>
          <w:tcPr>
            <w:tcW w:w="1237" w:type="dxa"/>
            <w:tcBorders>
              <w:top w:val="single" w:color="000000" w:sz="4" w:space="0"/>
              <w:left w:val="single" w:color="000000" w:sz="4" w:space="0"/>
              <w:bottom w:val="single" w:color="000000" w:sz="4" w:space="0"/>
              <w:right w:val="single" w:color="000000" w:sz="4" w:space="0"/>
            </w:tcBorders>
            <w:noWrap/>
            <w:vAlign w:val="center"/>
          </w:tcPr>
          <w:p w14:paraId="2CA425B8">
            <w:pPr>
              <w:jc w:val="left"/>
              <w:rPr>
                <w:rFonts w:ascii="宋体" w:hAnsi="宋体" w:cs="宋体"/>
                <w:b/>
                <w:bCs/>
                <w:color w:val="000000"/>
                <w:sz w:val="20"/>
                <w:szCs w:val="20"/>
              </w:rPr>
            </w:pP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0118EC81">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　　本级项目</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2487FC3">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570000</w:t>
            </w:r>
          </w:p>
        </w:tc>
        <w:tc>
          <w:tcPr>
            <w:tcW w:w="3383" w:type="dxa"/>
            <w:tcBorders>
              <w:top w:val="single" w:color="000000" w:sz="4" w:space="0"/>
              <w:left w:val="single" w:color="000000" w:sz="4" w:space="0"/>
              <w:bottom w:val="single" w:color="000000" w:sz="4" w:space="0"/>
              <w:right w:val="single" w:color="000000" w:sz="4" w:space="0"/>
            </w:tcBorders>
            <w:noWrap/>
            <w:vAlign w:val="center"/>
          </w:tcPr>
          <w:p w14:paraId="60BF0FB4">
            <w:pPr>
              <w:jc w:val="left"/>
              <w:rPr>
                <w:rFonts w:ascii="宋体" w:hAnsi="宋体" w:cs="宋体"/>
                <w:b/>
                <w:bCs/>
                <w:color w:val="000000"/>
                <w:sz w:val="20"/>
                <w:szCs w:val="20"/>
              </w:rPr>
            </w:pPr>
          </w:p>
        </w:tc>
        <w:tc>
          <w:tcPr>
            <w:tcW w:w="5894" w:type="dxa"/>
            <w:tcBorders>
              <w:top w:val="single" w:color="000000" w:sz="4" w:space="0"/>
              <w:left w:val="single" w:color="000000" w:sz="4" w:space="0"/>
              <w:bottom w:val="single" w:color="000000" w:sz="4" w:space="0"/>
              <w:right w:val="single" w:color="000000" w:sz="4" w:space="0"/>
            </w:tcBorders>
            <w:noWrap/>
            <w:vAlign w:val="center"/>
          </w:tcPr>
          <w:p w14:paraId="3AD4BBFF">
            <w:pPr>
              <w:jc w:val="left"/>
              <w:rPr>
                <w:rFonts w:ascii="宋体" w:hAnsi="宋体" w:cs="宋体"/>
                <w:b/>
                <w:bCs/>
                <w:color w:val="000000"/>
                <w:sz w:val="20"/>
                <w:szCs w:val="20"/>
              </w:rPr>
            </w:pPr>
          </w:p>
        </w:tc>
      </w:tr>
      <w:tr w14:paraId="7A524290">
        <w:tblPrEx>
          <w:tblCellMar>
            <w:top w:w="0" w:type="dxa"/>
            <w:left w:w="108" w:type="dxa"/>
            <w:bottom w:w="0" w:type="dxa"/>
            <w:right w:w="108" w:type="dxa"/>
          </w:tblCellMar>
        </w:tblPrEx>
        <w:trPr>
          <w:trHeight w:val="2643" w:hRule="atLeast"/>
        </w:trPr>
        <w:tc>
          <w:tcPr>
            <w:tcW w:w="1237" w:type="dxa"/>
            <w:tcBorders>
              <w:top w:val="single" w:color="000000" w:sz="4" w:space="0"/>
              <w:left w:val="single" w:color="000000" w:sz="4" w:space="0"/>
              <w:bottom w:val="single" w:color="000000" w:sz="4" w:space="0"/>
              <w:right w:val="single" w:color="000000" w:sz="4" w:space="0"/>
            </w:tcBorders>
            <w:noWrap/>
            <w:vAlign w:val="center"/>
          </w:tcPr>
          <w:p w14:paraId="07807E0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077001</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1E454B0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全市食盐储备工作经费</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4A016DD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50000</w:t>
            </w:r>
          </w:p>
        </w:tc>
        <w:tc>
          <w:tcPr>
            <w:tcW w:w="3383" w:type="dxa"/>
            <w:tcBorders>
              <w:top w:val="single" w:color="000000" w:sz="4" w:space="0"/>
              <w:left w:val="single" w:color="000000" w:sz="4" w:space="0"/>
              <w:bottom w:val="single" w:color="000000" w:sz="4" w:space="0"/>
              <w:right w:val="single" w:color="000000" w:sz="4" w:space="0"/>
            </w:tcBorders>
            <w:noWrap/>
            <w:vAlign w:val="center"/>
          </w:tcPr>
          <w:p w14:paraId="3168F75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概况】：根据《安徽省经济和信息化厅、安徽省发展和改革委员会、安徽省财政厅、安徽省商务厅、安徽省人民政府国有资产监督管理委员会关于进一步加强食盐储备管理工作的通知》，（皖经信盐食函〔2022〕115号）市经济和信息化局牵头负责本市食盐储备工作，会同有关部门下达市级食盐储备计划，督促承储单位做好储备计划的组织实施工作。各市财政对市级政府储备食盐给予贷款贴息、管理费用补贴，对食盐储备资金使用情况实施监督检查，杜绝任何单位和个人以任何方式骗取、挤占、截留、挪用政府食盐储备资金。</w:t>
            </w:r>
          </w:p>
        </w:tc>
        <w:tc>
          <w:tcPr>
            <w:tcW w:w="5894" w:type="dxa"/>
            <w:tcBorders>
              <w:top w:val="single" w:color="000000" w:sz="4" w:space="0"/>
              <w:left w:val="single" w:color="000000" w:sz="4" w:space="0"/>
              <w:bottom w:val="single" w:color="000000" w:sz="4" w:space="0"/>
              <w:right w:val="single" w:color="000000" w:sz="4" w:space="0"/>
            </w:tcBorders>
            <w:noWrap/>
            <w:vAlign w:val="center"/>
          </w:tcPr>
          <w:p w14:paraId="1ED767A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【总体目标】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市级食盐储备工作项目，可保障我市食盐储备“数量真实、质量良好、储存安全、管理规范”，应急时“调得动、用得上”，从而有利于维护食盐市场稳定目标，提升政府和社会满意度。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【产出指标-数量指标】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指标1:市级每年食盐储备量(230吨)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【产出指标-质量指标】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指标1:对市级政府储备食盐给予贷款贴息、管理费用补贴(按要求补贴)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【产出指标-时效指标】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指标1:市级食盐储备补助经费(及时拨付市级食盐储备补助经费)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【产出指标-成本指标】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指标1:市级食盐储备补助(4.6万)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指标2:仓库管理费(0.4万)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【效益指标-经济效益指标】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指标1:经济效益指标(不适用)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【效益指标-社会效益指标】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指标1:保障全市食盐供需(加强食盐储备管理工作)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【效益指标-生态效益指标】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指标1:生态效益指标(不适用)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【效益指标-可持续影响指标】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指标1:进一步加强食盐储备管理工作(保障全市食盐供需情况)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【满意度指标-服务对象满意度指标】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指标1:群众满意度调查(≥95%) </w:t>
            </w:r>
          </w:p>
        </w:tc>
      </w:tr>
      <w:tr w14:paraId="6EAE1C58">
        <w:tblPrEx>
          <w:tblCellMar>
            <w:top w:w="0" w:type="dxa"/>
            <w:left w:w="108" w:type="dxa"/>
            <w:bottom w:w="0" w:type="dxa"/>
            <w:right w:w="108" w:type="dxa"/>
          </w:tblCellMar>
        </w:tblPrEx>
        <w:trPr>
          <w:trHeight w:val="2927" w:hRule="atLeast"/>
        </w:trPr>
        <w:tc>
          <w:tcPr>
            <w:tcW w:w="1237" w:type="dxa"/>
            <w:tcBorders>
              <w:top w:val="single" w:color="000000" w:sz="4" w:space="0"/>
              <w:left w:val="single" w:color="000000" w:sz="4" w:space="0"/>
              <w:bottom w:val="single" w:color="000000" w:sz="4" w:space="0"/>
              <w:right w:val="single" w:color="000000" w:sz="4" w:space="0"/>
            </w:tcBorders>
            <w:noWrap/>
            <w:vAlign w:val="center"/>
          </w:tcPr>
          <w:p w14:paraId="12D4921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077001</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79C91E2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企业家协会补助经费</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95D3FE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40000</w:t>
            </w:r>
          </w:p>
        </w:tc>
        <w:tc>
          <w:tcPr>
            <w:tcW w:w="3383" w:type="dxa"/>
            <w:tcBorders>
              <w:top w:val="single" w:color="000000" w:sz="4" w:space="0"/>
              <w:left w:val="single" w:color="000000" w:sz="4" w:space="0"/>
              <w:bottom w:val="single" w:color="000000" w:sz="4" w:space="0"/>
              <w:right w:val="single" w:color="000000" w:sz="4" w:space="0"/>
            </w:tcBorders>
            <w:noWrap/>
            <w:vAlign w:val="center"/>
          </w:tcPr>
          <w:p w14:paraId="7EFF5C8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概况】：主要是为企业服务、为政府服务、为社会服务”，促进我市经济发展、企业进步、企业家队伍发展壮大。①参与劳动立法和监督，通过三方协商确立劳动标准和劳动关系规范，通过三方协调机制等反映企业权益诉求。②在行业、地区建立平等协调和集体合同制度，对行业性、区域性劳动关系重大事项进行协商解决，维护企业合法权益和社会进步。③三方共同组成仲裁委员会，对劳动争议案件公平公正地裁决。④加强和帮助企业自律，督促企业实现劳动合同、集体合同、企业民主管理等制度，提高依法用工意识，保障职工合法权益，引导企业履行社会责任；⑤参与群体性事件应急联动处置机制，形成快速反应和处置工作合力，督促指导企业落实主体责任，及时妥善处置群体事件。⑥深入推进和谐劳动关系创建活动，会同三方不断丰富创建内容，规范创建标准，改进创建评价。完善激励措施，表彰创建活动先进单位，发挥典型引路的示范带头作用。开展培训、咨询、信息交流、成果评价等活动，促进企业发展进步；组织会员企业与境内外企业开展技术和管理交流与合作。</w:t>
            </w:r>
          </w:p>
        </w:tc>
        <w:tc>
          <w:tcPr>
            <w:tcW w:w="5894" w:type="dxa"/>
            <w:tcBorders>
              <w:top w:val="single" w:color="000000" w:sz="4" w:space="0"/>
              <w:left w:val="single" w:color="000000" w:sz="4" w:space="0"/>
              <w:bottom w:val="single" w:color="000000" w:sz="4" w:space="0"/>
              <w:right w:val="single" w:color="000000" w:sz="4" w:space="0"/>
            </w:tcBorders>
            <w:noWrap/>
            <w:vAlign w:val="center"/>
          </w:tcPr>
          <w:p w14:paraId="575760A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【总体目标】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1、联合三方四家推荐全国和谐劳动关系示范企业；2、协同工会、人社局、工商联开展集体协商“春季要约”活动；做好全国模范劳动关系与工业园区推荐评选工作；3、开展企业现代化管理创新调研，推荐我市优秀企业积极参加评选；4、办好《黄山企联网》，大力宣传我市优秀企业和企业家；5、组织企业参加全市“规范企业用工管理帮帮团”启动仪式暨劳动关系政策集中宣讲培训活动。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【产出指标-数量指标】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指标1:开展活动次数(≥4次)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【产出指标-质量指标】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指标1:开展优秀企业家评选活动(活动正常举行)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【产出指标-时效指标】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指标1:及时组织申报及时将资金拨付到位。(及时拨付)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【产出指标-成本指标】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指标1:开展活动支出(4万元)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【效益指标-经济效益指标】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指标1:促进我市中小企业经济发展(效果明显)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【效益指标-社会效益指标】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指标1:激发企业在新常态下竞争发展的积极性(效果显著)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【效益指标-生态效益指标】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指标1:生态效益指标(不适用)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【效益指标-可持续影响指标】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指标1:项目的可持续影响度(影响力明显)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【满意度指标-服务对象满意度指标】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指标1:项目的社会满意度(≥90%) </w:t>
            </w:r>
          </w:p>
        </w:tc>
      </w:tr>
      <w:tr w14:paraId="4FBD6DD3">
        <w:tblPrEx>
          <w:tblCellMar>
            <w:top w:w="0" w:type="dxa"/>
            <w:left w:w="108" w:type="dxa"/>
            <w:bottom w:w="0" w:type="dxa"/>
            <w:right w:w="108" w:type="dxa"/>
          </w:tblCellMar>
        </w:tblPrEx>
        <w:trPr>
          <w:trHeight w:val="3569" w:hRule="atLeast"/>
        </w:trPr>
        <w:tc>
          <w:tcPr>
            <w:tcW w:w="1237" w:type="dxa"/>
            <w:tcBorders>
              <w:top w:val="single" w:color="000000" w:sz="4" w:space="0"/>
              <w:left w:val="single" w:color="000000" w:sz="4" w:space="0"/>
              <w:bottom w:val="single" w:color="000000" w:sz="4" w:space="0"/>
              <w:right w:val="single" w:color="000000" w:sz="4" w:space="0"/>
            </w:tcBorders>
            <w:noWrap/>
            <w:vAlign w:val="center"/>
          </w:tcPr>
          <w:p w14:paraId="5D12731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077001</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7B1EB80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市委市政府相关领导组工作经费</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7291A3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240000</w:t>
            </w:r>
          </w:p>
        </w:tc>
        <w:tc>
          <w:tcPr>
            <w:tcW w:w="3383" w:type="dxa"/>
            <w:tcBorders>
              <w:top w:val="single" w:color="000000" w:sz="4" w:space="0"/>
              <w:left w:val="single" w:color="000000" w:sz="4" w:space="0"/>
              <w:bottom w:val="single" w:color="000000" w:sz="4" w:space="0"/>
              <w:right w:val="single" w:color="000000" w:sz="4" w:space="0"/>
            </w:tcBorders>
            <w:noWrap/>
            <w:vAlign w:val="center"/>
          </w:tcPr>
          <w:p w14:paraId="3531D0A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【项目概况】：市委市政府相关领导组工作经费24万元，其中①市减轻企业负担联席会议办公室：开展企业减负调研工作，按时召开减轻企业负担</w:t>
            </w:r>
            <w:r>
              <w:rPr>
                <w:rFonts w:hint="eastAsia" w:ascii="宋体" w:hAnsi="宋体" w:cs="宋体"/>
                <w:color w:val="000000"/>
                <w:kern w:val="0"/>
                <w:sz w:val="20"/>
                <w:szCs w:val="20"/>
                <w:lang w:eastAsia="zh-CN"/>
              </w:rPr>
              <w:t>联席会议</w:t>
            </w:r>
            <w:r>
              <w:rPr>
                <w:rFonts w:hint="eastAsia" w:ascii="宋体" w:hAnsi="宋体" w:cs="宋体"/>
                <w:color w:val="000000"/>
                <w:kern w:val="0"/>
                <w:sz w:val="20"/>
                <w:szCs w:val="20"/>
              </w:rPr>
              <w:t>，组织协调各成员单位开展治乱减负专项督察，完成市企业减负办承担各项工作任务。②市新型工业化领导小组办公室：为加快推进我市新型工业化建设，按市委、市政府要求，每月召开工业经济运行调度会，协调工业经济发展的各种问题，通报和督查全市工业经济运行各项工作，开展对全市各区县的工业发展目标考核，指导年度各项目标的完成。③市民营经济领导小组办公室：开展民营经济政策宣贯、编印政策宣讲资料，实施民营经济人才、融资培训，等，组织落实政策专项督察，开展民营经济专项调研，承办民营经济表彰大会及相关活动，每季召开一次民营经济领导组</w:t>
            </w:r>
            <w:r>
              <w:rPr>
                <w:rFonts w:hint="eastAsia" w:ascii="宋体" w:hAnsi="宋体" w:cs="宋体"/>
                <w:color w:val="000000"/>
                <w:kern w:val="0"/>
                <w:sz w:val="20"/>
                <w:szCs w:val="20"/>
                <w:lang w:eastAsia="zh-CN"/>
              </w:rPr>
              <w:t>联席会议</w:t>
            </w:r>
            <w:r>
              <w:rPr>
                <w:rFonts w:hint="eastAsia" w:ascii="宋体" w:hAnsi="宋体" w:cs="宋体"/>
                <w:color w:val="000000"/>
                <w:kern w:val="0"/>
                <w:sz w:val="20"/>
                <w:szCs w:val="20"/>
              </w:rPr>
              <w:t>，承担领导组日常各项工作。④市企业改革领导组：按照国家规定，对改制企业资产进行清产核资，资产评估，客观、公正、合理原则进行，依法公开挂牌进行转让。制定审核市直改制企业改革方案，市直改制企业职代会或职工大会通过后，依法进行审批实施。解决市直改制企业善后问题。⑤5G通信网络建设协调领导小组：统筹推进5G建设和应用相关工作，协调解决工作推进中的重大问题，确保上下联动，取得实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项目立项依据】：《黄山市委办公厅黄山市人民政府办公厅关于成立市新型工业化领导小组的通知》《关于调整市企业改革领导组组成人员的通知》《关于调整市减轻企业负担联席会议成员的通知》《关于调整黄山市民营经济领导小组组成人员的通知》《关于调整黄山市亩均效益评价工作领导小组成员的通知》《黄山市软件产业园建设工作领导小组》</w:t>
            </w:r>
          </w:p>
        </w:tc>
        <w:tc>
          <w:tcPr>
            <w:tcW w:w="5894" w:type="dxa"/>
            <w:tcBorders>
              <w:top w:val="single" w:color="000000" w:sz="4" w:space="0"/>
              <w:left w:val="single" w:color="000000" w:sz="4" w:space="0"/>
              <w:bottom w:val="single" w:color="000000" w:sz="4" w:space="0"/>
              <w:right w:val="single" w:color="000000" w:sz="4" w:space="0"/>
            </w:tcBorders>
            <w:noWrap/>
            <w:vAlign w:val="center"/>
          </w:tcPr>
          <w:p w14:paraId="0727624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【总体目标】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①市减轻企业负担联席会议办公室经费：每年组织召开减负联席工作会议2次；开展企业减负工作专项调研2次；开展减负专项督察工作2次；参加和组织开展企业减负相关活动若干次。②市新型工业化领导小组办公室经费：确保完成2024年度市委、市政府下达的新型工业化经济发展的各项目标任务，召开全市工业会议1次。③市民营经济领导小组办公室经费项目：每年开展政策宣贯2次、进行民营经济培训活动56次，民营企业融资培训、管理培训5次，开展落实民营经济政策督察2次，各类调研6次，承办领导组</w:t>
            </w:r>
            <w:r>
              <w:rPr>
                <w:rFonts w:hint="eastAsia" w:ascii="宋体" w:hAnsi="宋体" w:cs="宋体"/>
                <w:color w:val="000000"/>
                <w:kern w:val="0"/>
                <w:sz w:val="20"/>
                <w:szCs w:val="20"/>
                <w:lang w:eastAsia="zh-CN"/>
              </w:rPr>
              <w:t>联席会议</w:t>
            </w:r>
            <w:r>
              <w:rPr>
                <w:rFonts w:hint="eastAsia" w:ascii="宋体" w:hAnsi="宋体" w:cs="宋体"/>
                <w:color w:val="000000"/>
                <w:kern w:val="0"/>
                <w:sz w:val="20"/>
                <w:szCs w:val="20"/>
              </w:rPr>
              <w:t>4次，承办民营经济表彰大会1次。④市企业改革领导组工作经费项目：基本完成全市国有、集体企业改革工作。⑤5G通信网络</w:t>
            </w:r>
            <w:bookmarkStart w:id="0" w:name="_GoBack"/>
            <w:bookmarkEnd w:id="0"/>
            <w:r>
              <w:rPr>
                <w:rFonts w:hint="eastAsia" w:ascii="宋体" w:hAnsi="宋体" w:cs="宋体"/>
                <w:color w:val="000000"/>
                <w:kern w:val="0"/>
                <w:sz w:val="20"/>
                <w:szCs w:val="20"/>
              </w:rPr>
              <w:t xml:space="preserve">建设协调领导小组工作经费：开展疑难站点专项督察2次，协调解决工作推进中的重大问题。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【产出指标-数量指标】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指标1:会议活动开展次数(≥8次)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【产出指标-质量指标】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指标1:各项领导组工作的完成情况(按质按量开展工作)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【产出指标-时效指标】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指标1:资金拨付到位时效(及时拨付)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【产出指标-成本指标】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指标1:成本费用的开支(24万元)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【效益指标-经济效益指标】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指标1:促进我市经济发展(效果明显)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【效益指标-社会效益指标】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指标1:推进民营企业发展(效果显著)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【效益指标-生态效益指标】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指标1:生态效益指标(不适用)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【效益指标-可持续影响指标】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指标1:项目的可持续影响度(可持续影响)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【满意度指标-服务对象满意度指标】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指标1:群众对工作的满意度(90%) </w:t>
            </w:r>
          </w:p>
        </w:tc>
      </w:tr>
      <w:tr w14:paraId="1F2B5B55">
        <w:tblPrEx>
          <w:tblCellMar>
            <w:top w:w="0" w:type="dxa"/>
            <w:left w:w="108" w:type="dxa"/>
            <w:bottom w:w="0" w:type="dxa"/>
            <w:right w:w="108" w:type="dxa"/>
          </w:tblCellMar>
        </w:tblPrEx>
        <w:trPr>
          <w:trHeight w:val="3470" w:hRule="atLeast"/>
        </w:trPr>
        <w:tc>
          <w:tcPr>
            <w:tcW w:w="1237" w:type="dxa"/>
            <w:tcBorders>
              <w:top w:val="single" w:color="000000" w:sz="4" w:space="0"/>
              <w:left w:val="single" w:color="000000" w:sz="4" w:space="0"/>
              <w:bottom w:val="single" w:color="000000" w:sz="4" w:space="0"/>
              <w:right w:val="single" w:color="000000" w:sz="4" w:space="0"/>
            </w:tcBorders>
            <w:noWrap/>
            <w:vAlign w:val="center"/>
          </w:tcPr>
          <w:p w14:paraId="1AB41CB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077001</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39362CA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铁路无人看守道口监护</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F3D3C9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240000</w:t>
            </w:r>
          </w:p>
        </w:tc>
        <w:tc>
          <w:tcPr>
            <w:tcW w:w="3383" w:type="dxa"/>
            <w:tcBorders>
              <w:top w:val="single" w:color="000000" w:sz="4" w:space="0"/>
              <w:left w:val="single" w:color="000000" w:sz="4" w:space="0"/>
              <w:bottom w:val="single" w:color="000000" w:sz="4" w:space="0"/>
              <w:right w:val="single" w:color="000000" w:sz="4" w:space="0"/>
            </w:tcBorders>
            <w:noWrap/>
            <w:vAlign w:val="center"/>
          </w:tcPr>
          <w:p w14:paraId="172384C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概况】：为切实解决实施监护的铁路无人看守道路的安全上存在“看、管”脱节问题，进一步消除监护道口安全隐患。明确由市、县政府监护道口主管部门承担辖区内监护道口安全监管职责，负责监护道口日常安全管理工作。宣传贯彻国家、省有关监护道口安全管理方面的法规、政策；加强各种监护设施、设备的日常维护和更新，协调解决辖区内监护道口安全管理工作中的有关问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【项目立项依据】：《关于进一步加强监护道口安全工作的通知》（皖经信安全函[2019]691号）</w:t>
            </w:r>
          </w:p>
        </w:tc>
        <w:tc>
          <w:tcPr>
            <w:tcW w:w="5894" w:type="dxa"/>
            <w:tcBorders>
              <w:top w:val="single" w:color="000000" w:sz="4" w:space="0"/>
              <w:left w:val="single" w:color="000000" w:sz="4" w:space="0"/>
              <w:bottom w:val="single" w:color="000000" w:sz="4" w:space="0"/>
              <w:right w:val="single" w:color="000000" w:sz="4" w:space="0"/>
            </w:tcBorders>
            <w:noWrap/>
            <w:vAlign w:val="center"/>
          </w:tcPr>
          <w:p w14:paraId="67B28C4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【总体目标】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进一步加强我市铁路无人看守道口的安全管理，会同市发展改革委、中国铁路上海局集团公司协同推进铁路道口“平改立”工作，落实铁路沿线安全环境隐患防范治理工作，防止发生安全事故，保护人民群众生命财产安全。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【产出指标-数量指标】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指标1:完成工作量(工作完成情况)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【产出指标-质量指标】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指标1:安全监护管理工作(安全监护管理工作落实情况)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【产出指标-时效指标】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指标1:经费支出时效性(经费支出按照计划时间支付)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【产出指标-成本指标】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指标1:道口安全监管经费开支(24万元)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【效益指标-经济效益指标】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指标1:对我市经济发展的提升(促进我市经济发展)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【效益指标-社会效益指标】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指标1:促进道口监护管理工作(促进道口监护管理工作，提高监护的铁路无人看守道路的安全。)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【效益指标-生态效益指标】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指标1:生态效益指标(不适用)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【效益指标-可持续影响指标】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指标1:持续助力道口监护管理工作(提高监护的铁路无人看守道路的安全。)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【满意度指标-服务对象满意度指标】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指标1:项目的社会满意度(≥90%) </w:t>
            </w:r>
          </w:p>
        </w:tc>
      </w:tr>
    </w:tbl>
    <w:p w14:paraId="562B035A">
      <w:pPr>
        <w:rPr>
          <w:rFonts w:ascii="Arial" w:hAnsi="Arial" w:cs="Arial"/>
          <w:color w:val="000000"/>
          <w:sz w:val="20"/>
          <w:szCs w:val="20"/>
        </w:rPr>
        <w:sectPr>
          <w:pgSz w:w="16838" w:h="11906" w:orient="landscape"/>
          <w:pgMar w:top="1797" w:right="1440" w:bottom="1418" w:left="1440" w:header="851" w:footer="992" w:gutter="0"/>
          <w:cols w:space="720" w:num="1"/>
          <w:docGrid w:type="linesAndChars" w:linePitch="312" w:charSpace="0"/>
        </w:sectPr>
      </w:pPr>
    </w:p>
    <w:tbl>
      <w:tblPr>
        <w:tblStyle w:val="10"/>
        <w:tblW w:w="8560" w:type="dxa"/>
        <w:tblInd w:w="93" w:type="dxa"/>
        <w:tblLayout w:type="fixed"/>
        <w:tblCellMar>
          <w:top w:w="0" w:type="dxa"/>
          <w:left w:w="108" w:type="dxa"/>
          <w:bottom w:w="0" w:type="dxa"/>
          <w:right w:w="108" w:type="dxa"/>
        </w:tblCellMar>
      </w:tblPr>
      <w:tblGrid>
        <w:gridCol w:w="1330"/>
        <w:gridCol w:w="1020"/>
        <w:gridCol w:w="1410"/>
        <w:gridCol w:w="1920"/>
        <w:gridCol w:w="1440"/>
        <w:gridCol w:w="1440"/>
      </w:tblGrid>
      <w:tr w14:paraId="53415ACD">
        <w:tblPrEx>
          <w:tblCellMar>
            <w:top w:w="0" w:type="dxa"/>
            <w:left w:w="108" w:type="dxa"/>
            <w:bottom w:w="0" w:type="dxa"/>
            <w:right w:w="108" w:type="dxa"/>
          </w:tblCellMar>
        </w:tblPrEx>
        <w:trPr>
          <w:trHeight w:val="654" w:hRule="atLeast"/>
        </w:trPr>
        <w:tc>
          <w:tcPr>
            <w:tcW w:w="1330" w:type="dxa"/>
            <w:tcBorders>
              <w:top w:val="single" w:color="FFFFFF" w:sz="4" w:space="0"/>
              <w:left w:val="single" w:color="FFFFFF" w:sz="4" w:space="0"/>
              <w:bottom w:val="single" w:color="FFFFFF" w:sz="4" w:space="0"/>
              <w:right w:val="single" w:color="FFFFFF" w:sz="4" w:space="0"/>
            </w:tcBorders>
            <w:noWrap/>
            <w:vAlign w:val="center"/>
          </w:tcPr>
          <w:p w14:paraId="44E84917">
            <w:pPr>
              <w:rPr>
                <w:rFonts w:ascii="宋体" w:hAnsi="宋体" w:cs="宋体"/>
                <w:color w:val="000000"/>
                <w:sz w:val="18"/>
                <w:szCs w:val="18"/>
              </w:rPr>
            </w:pPr>
          </w:p>
        </w:tc>
        <w:tc>
          <w:tcPr>
            <w:tcW w:w="1020" w:type="dxa"/>
            <w:tcBorders>
              <w:top w:val="single" w:color="FFFFFF" w:sz="4" w:space="0"/>
              <w:left w:val="single" w:color="FFFFFF" w:sz="4" w:space="0"/>
              <w:bottom w:val="single" w:color="FFFFFF" w:sz="4" w:space="0"/>
              <w:right w:val="single" w:color="FFFFFF" w:sz="4" w:space="0"/>
            </w:tcBorders>
            <w:noWrap/>
            <w:vAlign w:val="center"/>
          </w:tcPr>
          <w:p w14:paraId="20E3E1F7">
            <w:pPr>
              <w:rPr>
                <w:rFonts w:ascii="宋体" w:hAnsi="宋体" w:cs="宋体"/>
                <w:color w:val="000000"/>
                <w:sz w:val="18"/>
                <w:szCs w:val="18"/>
              </w:rPr>
            </w:pPr>
          </w:p>
        </w:tc>
        <w:tc>
          <w:tcPr>
            <w:tcW w:w="1410" w:type="dxa"/>
            <w:tcBorders>
              <w:top w:val="single" w:color="FFFFFF" w:sz="4" w:space="0"/>
              <w:left w:val="single" w:color="FFFFFF" w:sz="4" w:space="0"/>
              <w:bottom w:val="single" w:color="FFFFFF" w:sz="4" w:space="0"/>
              <w:right w:val="single" w:color="FFFFFF" w:sz="4" w:space="0"/>
            </w:tcBorders>
            <w:noWrap/>
            <w:vAlign w:val="center"/>
          </w:tcPr>
          <w:p w14:paraId="6C521B62">
            <w:pPr>
              <w:rPr>
                <w:rFonts w:ascii="宋体" w:hAnsi="宋体" w:cs="宋体"/>
                <w:color w:val="000000"/>
                <w:sz w:val="18"/>
                <w:szCs w:val="18"/>
              </w:rPr>
            </w:pPr>
          </w:p>
        </w:tc>
        <w:tc>
          <w:tcPr>
            <w:tcW w:w="1920" w:type="dxa"/>
            <w:tcBorders>
              <w:top w:val="single" w:color="FFFFFF" w:sz="4" w:space="0"/>
              <w:left w:val="single" w:color="FFFFFF" w:sz="4" w:space="0"/>
              <w:bottom w:val="single" w:color="FFFFFF" w:sz="4" w:space="0"/>
              <w:right w:val="single" w:color="FFFFFF" w:sz="4" w:space="0"/>
            </w:tcBorders>
            <w:noWrap/>
            <w:vAlign w:val="center"/>
          </w:tcPr>
          <w:p w14:paraId="6E46D687">
            <w:pPr>
              <w:rPr>
                <w:rFonts w:ascii="宋体" w:hAnsi="宋体" w:cs="宋体"/>
                <w:color w:val="000000"/>
                <w:sz w:val="18"/>
                <w:szCs w:val="18"/>
              </w:rPr>
            </w:pPr>
          </w:p>
        </w:tc>
        <w:tc>
          <w:tcPr>
            <w:tcW w:w="2880" w:type="dxa"/>
            <w:gridSpan w:val="2"/>
            <w:tcBorders>
              <w:top w:val="single" w:color="FFFFFF" w:sz="4" w:space="0"/>
              <w:left w:val="single" w:color="FFFFFF" w:sz="4" w:space="0"/>
              <w:bottom w:val="single" w:color="FFFFFF" w:sz="4" w:space="0"/>
              <w:right w:val="single" w:color="FFFFFF" w:sz="4" w:space="0"/>
            </w:tcBorders>
            <w:noWrap/>
            <w:vAlign w:val="center"/>
          </w:tcPr>
          <w:p w14:paraId="2110F3F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部门（单位）公开表14</w:t>
            </w:r>
          </w:p>
        </w:tc>
      </w:tr>
      <w:tr w14:paraId="3FF45FF2">
        <w:tblPrEx>
          <w:tblCellMar>
            <w:top w:w="0" w:type="dxa"/>
            <w:left w:w="108" w:type="dxa"/>
            <w:bottom w:w="0" w:type="dxa"/>
            <w:right w:w="108" w:type="dxa"/>
          </w:tblCellMar>
        </w:tblPrEx>
        <w:trPr>
          <w:trHeight w:val="718" w:hRule="atLeast"/>
        </w:trPr>
        <w:tc>
          <w:tcPr>
            <w:tcW w:w="8560" w:type="dxa"/>
            <w:gridSpan w:val="6"/>
            <w:tcBorders>
              <w:top w:val="single" w:color="FFFFFF" w:sz="4" w:space="0"/>
              <w:left w:val="single" w:color="FFFFFF" w:sz="4" w:space="0"/>
              <w:bottom w:val="single" w:color="FFFFFF" w:sz="4" w:space="0"/>
              <w:right w:val="single" w:color="FFFFFF" w:sz="4" w:space="0"/>
            </w:tcBorders>
            <w:noWrap/>
            <w:vAlign w:val="center"/>
          </w:tcPr>
          <w:p w14:paraId="780FE755">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rPr>
              <w:t>表十四、2024年一般公共预算“三公”经费支出预算表</w:t>
            </w:r>
          </w:p>
        </w:tc>
      </w:tr>
      <w:tr w14:paraId="5853635E">
        <w:tblPrEx>
          <w:tblCellMar>
            <w:top w:w="0" w:type="dxa"/>
            <w:left w:w="108" w:type="dxa"/>
            <w:bottom w:w="0" w:type="dxa"/>
            <w:right w:w="108" w:type="dxa"/>
          </w:tblCellMar>
        </w:tblPrEx>
        <w:trPr>
          <w:trHeight w:val="341" w:hRule="atLeast"/>
        </w:trPr>
        <w:tc>
          <w:tcPr>
            <w:tcW w:w="3760" w:type="dxa"/>
            <w:gridSpan w:val="3"/>
            <w:tcBorders>
              <w:top w:val="nil"/>
              <w:left w:val="nil"/>
              <w:bottom w:val="nil"/>
              <w:right w:val="single" w:color="FFFFFF" w:sz="4" w:space="0"/>
            </w:tcBorders>
            <w:noWrap/>
            <w:vAlign w:val="center"/>
          </w:tcPr>
          <w:p w14:paraId="102B9022">
            <w:pPr>
              <w:rPr>
                <w:rFonts w:ascii="宋体" w:hAnsi="宋体" w:cs="宋体"/>
                <w:color w:val="000000"/>
                <w:sz w:val="18"/>
                <w:szCs w:val="18"/>
              </w:rPr>
            </w:pPr>
            <w:r>
              <w:rPr>
                <w:rFonts w:hint="eastAsia" w:ascii="宋体" w:hAnsi="宋体" w:cs="宋体"/>
                <w:color w:val="000000"/>
                <w:kern w:val="0"/>
                <w:sz w:val="18"/>
                <w:szCs w:val="18"/>
              </w:rPr>
              <w:t xml:space="preserve">[077]黄山市经济和信息化局 </w:t>
            </w:r>
          </w:p>
        </w:tc>
        <w:tc>
          <w:tcPr>
            <w:tcW w:w="1920" w:type="dxa"/>
            <w:tcBorders>
              <w:top w:val="nil"/>
              <w:left w:val="single" w:color="FFFFFF" w:sz="4" w:space="0"/>
              <w:bottom w:val="nil"/>
              <w:right w:val="single" w:color="FFFFFF" w:sz="4" w:space="0"/>
            </w:tcBorders>
            <w:noWrap/>
            <w:vAlign w:val="bottom"/>
          </w:tcPr>
          <w:p w14:paraId="7A1D923C">
            <w:pPr>
              <w:rPr>
                <w:rFonts w:ascii="Calibri" w:hAnsi="Calibri" w:cs="Calibri"/>
                <w:color w:val="000000"/>
                <w:sz w:val="22"/>
                <w:szCs w:val="22"/>
              </w:rPr>
            </w:pPr>
          </w:p>
        </w:tc>
        <w:tc>
          <w:tcPr>
            <w:tcW w:w="1440" w:type="dxa"/>
            <w:tcBorders>
              <w:top w:val="nil"/>
              <w:left w:val="single" w:color="FFFFFF" w:sz="4" w:space="0"/>
              <w:bottom w:val="nil"/>
              <w:right w:val="nil"/>
            </w:tcBorders>
            <w:noWrap/>
            <w:vAlign w:val="center"/>
          </w:tcPr>
          <w:p w14:paraId="6F3C2B70">
            <w:pPr>
              <w:rPr>
                <w:rFonts w:ascii="宋体" w:hAnsi="宋体" w:cs="宋体"/>
                <w:color w:val="000000"/>
                <w:sz w:val="18"/>
                <w:szCs w:val="18"/>
              </w:rPr>
            </w:pPr>
          </w:p>
        </w:tc>
        <w:tc>
          <w:tcPr>
            <w:tcW w:w="1440" w:type="dxa"/>
            <w:tcBorders>
              <w:top w:val="nil"/>
              <w:left w:val="nil"/>
              <w:bottom w:val="nil"/>
              <w:right w:val="nil"/>
            </w:tcBorders>
            <w:noWrap/>
            <w:vAlign w:val="bottom"/>
          </w:tcPr>
          <w:p w14:paraId="1EBC1AC0">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单位：万元</w:t>
            </w:r>
          </w:p>
        </w:tc>
      </w:tr>
      <w:tr w14:paraId="61DD72BF">
        <w:tblPrEx>
          <w:tblCellMar>
            <w:top w:w="0" w:type="dxa"/>
            <w:left w:w="108" w:type="dxa"/>
            <w:bottom w:w="0" w:type="dxa"/>
            <w:right w:w="108" w:type="dxa"/>
          </w:tblCellMar>
        </w:tblPrEx>
        <w:trPr>
          <w:trHeight w:val="583"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ign w:val="center"/>
          </w:tcPr>
          <w:p w14:paraId="0707B1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“三公”经费合计</w:t>
            </w:r>
          </w:p>
        </w:tc>
        <w:tc>
          <w:tcPr>
            <w:tcW w:w="1020" w:type="dxa"/>
            <w:vMerge w:val="restart"/>
            <w:tcBorders>
              <w:top w:val="single" w:color="000000" w:sz="4" w:space="0"/>
              <w:left w:val="single" w:color="000000" w:sz="4" w:space="0"/>
              <w:bottom w:val="single" w:color="000000" w:sz="4" w:space="0"/>
              <w:right w:val="single" w:color="000000" w:sz="4" w:space="0"/>
            </w:tcBorders>
            <w:noWrap/>
            <w:vAlign w:val="center"/>
          </w:tcPr>
          <w:p w14:paraId="741743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4770" w:type="dxa"/>
            <w:gridSpan w:val="3"/>
            <w:tcBorders>
              <w:top w:val="single" w:color="000000" w:sz="4" w:space="0"/>
              <w:left w:val="single" w:color="000000" w:sz="4" w:space="0"/>
              <w:bottom w:val="single" w:color="000000" w:sz="4" w:space="0"/>
              <w:right w:val="single" w:color="000000" w:sz="4" w:space="0"/>
            </w:tcBorders>
            <w:noWrap/>
            <w:vAlign w:val="center"/>
          </w:tcPr>
          <w:p w14:paraId="60B4B9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440" w:type="dxa"/>
            <w:vMerge w:val="restart"/>
            <w:tcBorders>
              <w:top w:val="single" w:color="000000" w:sz="4" w:space="0"/>
              <w:left w:val="single" w:color="000000" w:sz="4" w:space="0"/>
              <w:bottom w:val="single" w:color="000000" w:sz="4" w:space="0"/>
              <w:right w:val="single" w:color="000000" w:sz="4" w:space="0"/>
            </w:tcBorders>
            <w:noWrap/>
            <w:vAlign w:val="center"/>
          </w:tcPr>
          <w:p w14:paraId="423E71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r>
      <w:tr w14:paraId="6CFE8636">
        <w:tblPrEx>
          <w:tblCellMar>
            <w:top w:w="0" w:type="dxa"/>
            <w:left w:w="108" w:type="dxa"/>
            <w:bottom w:w="0" w:type="dxa"/>
            <w:right w:w="108" w:type="dxa"/>
          </w:tblCellMar>
        </w:tblPrEx>
        <w:trPr>
          <w:trHeight w:val="515"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6F6D">
            <w:pPr>
              <w:jc w:val="center"/>
              <w:rPr>
                <w:rFonts w:ascii="宋体" w:hAnsi="宋体" w:cs="宋体"/>
                <w:color w:val="000000"/>
                <w:sz w:val="20"/>
                <w:szCs w:val="20"/>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0430">
            <w:pPr>
              <w:jc w:val="center"/>
              <w:rPr>
                <w:rFonts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483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A7D94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公务用车购置费</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8E07B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公务用车运行费</w:t>
            </w:r>
          </w:p>
        </w:tc>
        <w:tc>
          <w:tcPr>
            <w:tcW w:w="1440" w:type="dxa"/>
            <w:vMerge w:val="continue"/>
            <w:tcBorders>
              <w:top w:val="single" w:color="000000" w:sz="4" w:space="0"/>
              <w:left w:val="single" w:color="000000" w:sz="4" w:space="0"/>
              <w:bottom w:val="single" w:color="000000" w:sz="4" w:space="0"/>
              <w:right w:val="single" w:color="000000" w:sz="4" w:space="0"/>
            </w:tcBorders>
            <w:noWrap/>
            <w:vAlign w:val="center"/>
          </w:tcPr>
          <w:p w14:paraId="315880E3">
            <w:pPr>
              <w:jc w:val="center"/>
              <w:rPr>
                <w:rFonts w:ascii="宋体" w:hAnsi="宋体" w:cs="宋体"/>
                <w:color w:val="000000"/>
                <w:sz w:val="20"/>
                <w:szCs w:val="20"/>
              </w:rPr>
            </w:pPr>
          </w:p>
        </w:tc>
      </w:tr>
      <w:tr w14:paraId="03B6ABC4">
        <w:tblPrEx>
          <w:tblCellMar>
            <w:top w:w="0" w:type="dxa"/>
            <w:left w:w="108" w:type="dxa"/>
            <w:bottom w:w="0" w:type="dxa"/>
            <w:right w:w="108" w:type="dxa"/>
          </w:tblCellMar>
        </w:tblPrEx>
        <w:trPr>
          <w:trHeight w:val="554" w:hRule="atLeast"/>
        </w:trPr>
        <w:tc>
          <w:tcPr>
            <w:tcW w:w="1330" w:type="dxa"/>
            <w:tcBorders>
              <w:top w:val="nil"/>
              <w:left w:val="single" w:color="000000" w:sz="4" w:space="0"/>
              <w:bottom w:val="single" w:color="000000" w:sz="4" w:space="0"/>
              <w:right w:val="single" w:color="000000" w:sz="4" w:space="0"/>
            </w:tcBorders>
            <w:noWrap/>
            <w:vAlign w:val="center"/>
          </w:tcPr>
          <w:p w14:paraId="1D961BB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3.25</w:t>
            </w:r>
          </w:p>
        </w:tc>
        <w:tc>
          <w:tcPr>
            <w:tcW w:w="1020" w:type="dxa"/>
            <w:tcBorders>
              <w:top w:val="nil"/>
              <w:left w:val="single" w:color="000000" w:sz="4" w:space="0"/>
              <w:bottom w:val="single" w:color="000000" w:sz="4" w:space="0"/>
              <w:right w:val="single" w:color="000000" w:sz="4" w:space="0"/>
            </w:tcBorders>
            <w:noWrap/>
            <w:vAlign w:val="center"/>
          </w:tcPr>
          <w:p w14:paraId="4EDAF64D">
            <w:pPr>
              <w:jc w:val="right"/>
              <w:rPr>
                <w:rFonts w:ascii="宋体" w:hAnsi="宋体" w:cs="宋体"/>
                <w:color w:val="000000"/>
                <w:sz w:val="18"/>
                <w:szCs w:val="18"/>
              </w:rPr>
            </w:pPr>
            <w:r>
              <w:rPr>
                <w:rFonts w:hint="eastAsia" w:ascii="宋体" w:hAnsi="宋体" w:cs="宋体"/>
                <w:color w:val="000000"/>
                <w:sz w:val="18"/>
                <w:szCs w:val="18"/>
              </w:rPr>
              <w:t>0</w:t>
            </w:r>
          </w:p>
        </w:tc>
        <w:tc>
          <w:tcPr>
            <w:tcW w:w="1410" w:type="dxa"/>
            <w:tcBorders>
              <w:top w:val="nil"/>
              <w:left w:val="single" w:color="000000" w:sz="4" w:space="0"/>
              <w:bottom w:val="single" w:color="000000" w:sz="4" w:space="0"/>
              <w:right w:val="single" w:color="000000" w:sz="4" w:space="0"/>
            </w:tcBorders>
            <w:noWrap/>
            <w:vAlign w:val="center"/>
          </w:tcPr>
          <w:p w14:paraId="65CC1B95">
            <w:pPr>
              <w:jc w:val="right"/>
              <w:rPr>
                <w:rFonts w:ascii="宋体" w:hAnsi="宋体" w:cs="宋体"/>
                <w:color w:val="000000"/>
                <w:sz w:val="18"/>
                <w:szCs w:val="18"/>
              </w:rPr>
            </w:pPr>
            <w:r>
              <w:rPr>
                <w:rFonts w:hint="eastAsia" w:ascii="宋体" w:hAnsi="宋体" w:cs="宋体"/>
                <w:color w:val="000000"/>
                <w:sz w:val="18"/>
                <w:szCs w:val="18"/>
              </w:rPr>
              <w:t>0</w:t>
            </w:r>
          </w:p>
        </w:tc>
        <w:tc>
          <w:tcPr>
            <w:tcW w:w="1920" w:type="dxa"/>
            <w:tcBorders>
              <w:top w:val="nil"/>
              <w:left w:val="single" w:color="000000" w:sz="4" w:space="0"/>
              <w:bottom w:val="single" w:color="000000" w:sz="4" w:space="0"/>
              <w:right w:val="single" w:color="000000" w:sz="4" w:space="0"/>
            </w:tcBorders>
            <w:noWrap/>
            <w:vAlign w:val="center"/>
          </w:tcPr>
          <w:p w14:paraId="58E9CEA8">
            <w:pPr>
              <w:jc w:val="right"/>
              <w:rPr>
                <w:rFonts w:ascii="宋体" w:hAnsi="宋体" w:cs="宋体"/>
                <w:color w:val="000000"/>
                <w:sz w:val="18"/>
                <w:szCs w:val="18"/>
              </w:rPr>
            </w:pPr>
            <w:r>
              <w:rPr>
                <w:rFonts w:hint="eastAsia" w:ascii="宋体" w:hAnsi="宋体" w:cs="宋体"/>
                <w:color w:val="000000"/>
                <w:sz w:val="18"/>
                <w:szCs w:val="18"/>
              </w:rPr>
              <w:t>0</w:t>
            </w:r>
          </w:p>
        </w:tc>
        <w:tc>
          <w:tcPr>
            <w:tcW w:w="1440" w:type="dxa"/>
            <w:tcBorders>
              <w:top w:val="nil"/>
              <w:left w:val="single" w:color="000000" w:sz="4" w:space="0"/>
              <w:bottom w:val="single" w:color="000000" w:sz="4" w:space="0"/>
              <w:right w:val="single" w:color="000000" w:sz="4" w:space="0"/>
            </w:tcBorders>
            <w:noWrap/>
            <w:vAlign w:val="center"/>
          </w:tcPr>
          <w:p w14:paraId="5A9A237A">
            <w:pPr>
              <w:rPr>
                <w:rFonts w:ascii="宋体" w:hAnsi="宋体" w:cs="宋体"/>
                <w:color w:val="000000"/>
                <w:sz w:val="18"/>
                <w:szCs w:val="18"/>
              </w:rPr>
            </w:pPr>
            <w:r>
              <w:rPr>
                <w:rFonts w:hint="eastAsia" w:ascii="宋体" w:hAnsi="宋体" w:cs="宋体"/>
                <w:color w:val="000000"/>
                <w:sz w:val="18"/>
                <w:szCs w:val="18"/>
              </w:rPr>
              <w:t>0</w:t>
            </w:r>
          </w:p>
        </w:tc>
        <w:tc>
          <w:tcPr>
            <w:tcW w:w="1440" w:type="dxa"/>
            <w:tcBorders>
              <w:top w:val="nil"/>
              <w:left w:val="single" w:color="000000" w:sz="4" w:space="0"/>
              <w:bottom w:val="single" w:color="000000" w:sz="4" w:space="0"/>
              <w:right w:val="single" w:color="000000" w:sz="4" w:space="0"/>
            </w:tcBorders>
            <w:noWrap/>
            <w:vAlign w:val="center"/>
          </w:tcPr>
          <w:p w14:paraId="1BD831CE">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3.25</w:t>
            </w:r>
          </w:p>
        </w:tc>
      </w:tr>
    </w:tbl>
    <w:p w14:paraId="6CAA5397">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4C509133">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009CBD67">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12730350">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52956323">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33F1023F">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32391F46">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7410BD68">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535AE76C">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0085F4C9">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4F63008A">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65F6517B">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4C6B5602">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249D48B9">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62A56D43">
      <w:pPr>
        <w:pStyle w:val="9"/>
        <w:adjustRightInd w:val="0"/>
        <w:snapToGrid w:val="0"/>
        <w:spacing w:before="0" w:beforeAutospacing="0" w:after="0" w:afterAutospacing="0" w:line="600" w:lineRule="exact"/>
        <w:jc w:val="center"/>
        <w:rPr>
          <w:rFonts w:ascii="黑体" w:hAnsi="黑体" w:eastAsia="黑体" w:cs="Times New Roman"/>
          <w:bCs/>
          <w:sz w:val="36"/>
          <w:szCs w:val="36"/>
        </w:rPr>
      </w:pPr>
    </w:p>
    <w:p w14:paraId="005279BC">
      <w:pPr>
        <w:pStyle w:val="9"/>
        <w:adjustRightInd w:val="0"/>
        <w:snapToGrid w:val="0"/>
        <w:spacing w:before="0" w:beforeAutospacing="0" w:after="0" w:afterAutospacing="0" w:line="600" w:lineRule="exact"/>
        <w:jc w:val="both"/>
        <w:rPr>
          <w:rFonts w:ascii="黑体" w:hAnsi="黑体" w:eastAsia="黑体" w:cs="Times New Roman"/>
          <w:bCs/>
          <w:sz w:val="36"/>
          <w:szCs w:val="36"/>
        </w:rPr>
      </w:pPr>
    </w:p>
    <w:p w14:paraId="43F944A1">
      <w:pPr>
        <w:pStyle w:val="9"/>
        <w:adjustRightInd w:val="0"/>
        <w:snapToGrid w:val="0"/>
        <w:spacing w:before="0" w:beforeAutospacing="0" w:after="0" w:afterAutospacing="0" w:line="600" w:lineRule="exact"/>
        <w:jc w:val="center"/>
        <w:rPr>
          <w:rFonts w:ascii="黑体" w:hAnsi="黑体" w:eastAsia="黑体" w:cs="Times New Roman"/>
          <w:bCs/>
          <w:sz w:val="36"/>
          <w:szCs w:val="36"/>
        </w:rPr>
      </w:pPr>
      <w:r>
        <w:rPr>
          <w:rFonts w:ascii="黑体" w:hAnsi="黑体" w:eastAsia="黑体" w:cs="Times New Roman"/>
          <w:bCs/>
          <w:sz w:val="36"/>
          <w:szCs w:val="36"/>
        </w:rPr>
        <w:t>第三部分 2024年部门预算情况说明</w:t>
      </w:r>
    </w:p>
    <w:p w14:paraId="00F1F902">
      <w:pPr>
        <w:pStyle w:val="9"/>
        <w:adjustRightInd w:val="0"/>
        <w:snapToGrid w:val="0"/>
        <w:spacing w:before="0" w:beforeAutospacing="0" w:after="0" w:afterAutospacing="0" w:line="600" w:lineRule="exact"/>
        <w:rPr>
          <w:rFonts w:ascii="Times New Roman" w:hAnsi="Times New Roman" w:eastAsia="黑体" w:cs="Times New Roman"/>
          <w:bCs/>
          <w:sz w:val="32"/>
          <w:szCs w:val="32"/>
        </w:rPr>
      </w:pPr>
    </w:p>
    <w:p w14:paraId="46D399F6">
      <w:pPr>
        <w:pStyle w:val="9"/>
        <w:adjustRightInd w:val="0"/>
        <w:snapToGrid w:val="0"/>
        <w:spacing w:before="0" w:beforeAutospacing="0" w:after="0" w:afterAutospacing="0" w:line="600" w:lineRule="exact"/>
        <w:ind w:firstLine="640" w:firstLineChars="200"/>
        <w:rPr>
          <w:rFonts w:ascii="黑体" w:hAnsi="黑体" w:eastAsia="黑体" w:cs="Times New Roman"/>
          <w:sz w:val="32"/>
          <w:szCs w:val="32"/>
        </w:rPr>
      </w:pPr>
      <w:r>
        <w:rPr>
          <w:rFonts w:ascii="黑体" w:hAnsi="黑体" w:eastAsia="黑体" w:cs="Times New Roman"/>
          <w:bCs/>
          <w:sz w:val="32"/>
          <w:szCs w:val="32"/>
        </w:rPr>
        <w:t>一、</w:t>
      </w:r>
      <w:r>
        <w:rPr>
          <w:rFonts w:ascii="黑体" w:hAnsi="黑体" w:eastAsia="黑体" w:cs="Times New Roman"/>
          <w:sz w:val="32"/>
          <w:szCs w:val="32"/>
        </w:rPr>
        <w:t>关于2024年收支预算总体情况说明</w:t>
      </w:r>
    </w:p>
    <w:p w14:paraId="5B306BCB">
      <w:pPr>
        <w:pStyle w:val="17"/>
      </w:pPr>
      <w:r>
        <w:t>按照综合预算的原则，黄山市</w:t>
      </w:r>
      <w:r>
        <w:rPr>
          <w:rFonts w:hint="eastAsia"/>
        </w:rPr>
        <w:t>经济和信息化局</w:t>
      </w:r>
      <w:r>
        <w:t>所有收入和支出均纳入部门预算管理。黄山市</w:t>
      </w:r>
      <w:r>
        <w:rPr>
          <w:rFonts w:hint="eastAsia"/>
        </w:rPr>
        <w:t>经济和信息化局</w:t>
      </w:r>
      <w:r>
        <w:t>2024年收支总预算</w:t>
      </w:r>
      <w:r>
        <w:rPr>
          <w:rFonts w:hint="eastAsia"/>
        </w:rPr>
        <w:t>748.65</w:t>
      </w:r>
      <w:r>
        <w:t>万元，收入包括一般公共预算拨款收入</w:t>
      </w:r>
      <w:r>
        <w:rPr>
          <w:rFonts w:hint="eastAsia"/>
        </w:rPr>
        <w:t>、</w:t>
      </w:r>
      <w:r>
        <w:t>上年结转收</w:t>
      </w:r>
      <w:r>
        <w:rPr>
          <w:rFonts w:hint="eastAsia"/>
        </w:rPr>
        <w:t>入</w:t>
      </w:r>
      <w:r>
        <w:t>，支出包括：一般公共服务、社会保障和就业支出、卫生健康支出、</w:t>
      </w:r>
      <w:r>
        <w:rPr>
          <w:rFonts w:hint="eastAsia"/>
        </w:rPr>
        <w:t>资源勘探工业信息等支出、</w:t>
      </w:r>
      <w:r>
        <w:t>住房保障支出。</w:t>
      </w:r>
    </w:p>
    <w:p w14:paraId="5E3D890C">
      <w:pPr>
        <w:pStyle w:val="9"/>
        <w:adjustRightInd w:val="0"/>
        <w:snapToGrid w:val="0"/>
        <w:spacing w:before="0" w:beforeAutospacing="0" w:after="0" w:afterAutospacing="0" w:line="600" w:lineRule="exact"/>
        <w:ind w:firstLine="627" w:firstLineChars="196"/>
        <w:rPr>
          <w:rFonts w:ascii="黑体" w:hAnsi="黑体" w:eastAsia="黑体" w:cs="Times New Roman"/>
          <w:sz w:val="32"/>
          <w:szCs w:val="32"/>
        </w:rPr>
      </w:pPr>
      <w:r>
        <w:rPr>
          <w:rFonts w:hint="eastAsia" w:ascii="黑体" w:hAnsi="黑体" w:eastAsia="黑体" w:cs="Times New Roman"/>
          <w:sz w:val="32"/>
          <w:szCs w:val="32"/>
        </w:rPr>
        <w:t>二</w:t>
      </w:r>
      <w:r>
        <w:rPr>
          <w:rFonts w:ascii="黑体" w:hAnsi="黑体" w:eastAsia="黑体" w:cs="Times New Roman"/>
          <w:sz w:val="32"/>
          <w:szCs w:val="32"/>
        </w:rPr>
        <w:t>、关于2024年收入预算情况说明</w:t>
      </w:r>
    </w:p>
    <w:p w14:paraId="0DB31AE6">
      <w:pPr>
        <w:pStyle w:val="17"/>
      </w:pPr>
      <w:r>
        <w:t>黄山市</w:t>
      </w:r>
      <w:r>
        <w:rPr>
          <w:rFonts w:hint="eastAsia"/>
        </w:rPr>
        <w:t>经济和信息化局</w:t>
      </w:r>
      <w:r>
        <w:t>2024年收入预算</w:t>
      </w:r>
      <w:r>
        <w:rPr>
          <w:rFonts w:hint="eastAsia"/>
        </w:rPr>
        <w:t>748.65</w:t>
      </w:r>
      <w:r>
        <w:t>万元，其中：一般公共预算拨款收入</w:t>
      </w:r>
      <w:r>
        <w:rPr>
          <w:rFonts w:hint="eastAsia"/>
        </w:rPr>
        <w:t>732.91</w:t>
      </w:r>
      <w:r>
        <w:t>万元，占</w:t>
      </w:r>
      <w:r>
        <w:rPr>
          <w:rFonts w:hint="eastAsia"/>
        </w:rPr>
        <w:t>97.9</w:t>
      </w:r>
      <w:r>
        <w:t>%，比2023年预算增加</w:t>
      </w:r>
      <w:r>
        <w:rPr>
          <w:rFonts w:hint="eastAsia"/>
        </w:rPr>
        <w:t>41.53</w:t>
      </w:r>
      <w:r>
        <w:t>万元，增长</w:t>
      </w:r>
      <w:r>
        <w:rPr>
          <w:rFonts w:hint="eastAsia"/>
        </w:rPr>
        <w:t>6</w:t>
      </w:r>
      <w:r>
        <w:t>%，增长原因主要是</w:t>
      </w:r>
      <w:r>
        <w:rPr>
          <w:rFonts w:hint="eastAsia"/>
        </w:rPr>
        <w:t>单位人员增加</w:t>
      </w:r>
      <w:r>
        <w:t>；上年结转结余</w:t>
      </w:r>
      <w:r>
        <w:rPr>
          <w:rFonts w:hint="eastAsia"/>
        </w:rPr>
        <w:t>15.74</w:t>
      </w:r>
      <w:r>
        <w:t>万元，占</w:t>
      </w:r>
      <w:r>
        <w:rPr>
          <w:rFonts w:hint="eastAsia"/>
        </w:rPr>
        <w:t>2.1</w:t>
      </w:r>
      <w:r>
        <w:t>%，比2023年预算增加</w:t>
      </w:r>
      <w:r>
        <w:rPr>
          <w:rFonts w:hint="eastAsia"/>
        </w:rPr>
        <w:t>15.74</w:t>
      </w:r>
      <w:r>
        <w:t>万元，增长原因主要是</w:t>
      </w:r>
      <w:r>
        <w:rPr>
          <w:rFonts w:hint="eastAsia"/>
        </w:rPr>
        <w:t>2023年两个项目的结余资金在2024年继续使用</w:t>
      </w:r>
      <w:r>
        <w:t>。</w:t>
      </w:r>
    </w:p>
    <w:p w14:paraId="3ECD9044">
      <w:pPr>
        <w:pStyle w:val="9"/>
        <w:adjustRightInd w:val="0"/>
        <w:snapToGrid w:val="0"/>
        <w:spacing w:before="0" w:beforeAutospacing="0" w:after="0" w:afterAutospacing="0" w:line="600" w:lineRule="exact"/>
        <w:ind w:firstLine="627" w:firstLineChars="196"/>
        <w:rPr>
          <w:rFonts w:ascii="黑体" w:hAnsi="黑体" w:eastAsia="黑体" w:cs="Times New Roman"/>
          <w:sz w:val="32"/>
          <w:szCs w:val="32"/>
        </w:rPr>
      </w:pPr>
      <w:r>
        <w:rPr>
          <w:rFonts w:hint="eastAsia" w:ascii="黑体" w:hAnsi="黑体" w:eastAsia="黑体" w:cs="Times New Roman"/>
          <w:sz w:val="32"/>
          <w:szCs w:val="32"/>
        </w:rPr>
        <w:t>三</w:t>
      </w:r>
      <w:r>
        <w:rPr>
          <w:rFonts w:ascii="黑体" w:hAnsi="黑体" w:eastAsia="黑体" w:cs="Times New Roman"/>
          <w:sz w:val="32"/>
          <w:szCs w:val="32"/>
        </w:rPr>
        <w:t>、关于2024年支出预算情况说明</w:t>
      </w:r>
    </w:p>
    <w:p w14:paraId="78E50E8F">
      <w:pPr>
        <w:pStyle w:val="17"/>
        <w:rPr>
          <w:rFonts w:eastAsia="黑体"/>
          <w:bCs/>
        </w:rPr>
      </w:pPr>
      <w:r>
        <w:rPr>
          <w:shd w:val="clear" w:color="auto" w:fill="FFFFFF"/>
        </w:rPr>
        <w:t>黄山市</w:t>
      </w:r>
      <w:r>
        <w:rPr>
          <w:rFonts w:hint="eastAsia"/>
          <w:shd w:val="clear" w:color="auto" w:fill="FFFFFF"/>
        </w:rPr>
        <w:t>经济和信息化局</w:t>
      </w:r>
      <w:r>
        <w:rPr>
          <w:shd w:val="clear" w:color="auto" w:fill="FFFFFF"/>
        </w:rPr>
        <w:t>2024年支出预算</w:t>
      </w:r>
      <w:r>
        <w:rPr>
          <w:rFonts w:hint="eastAsia"/>
        </w:rPr>
        <w:t>748.65</w:t>
      </w:r>
      <w:r>
        <w:rPr>
          <w:shd w:val="clear" w:color="auto" w:fill="FFFFFF"/>
        </w:rPr>
        <w:t>万元，比2023年预算增加</w:t>
      </w:r>
      <w:r>
        <w:rPr>
          <w:rFonts w:hint="eastAsia"/>
          <w:shd w:val="clear" w:color="auto" w:fill="FFFFFF"/>
        </w:rPr>
        <w:t>57.27</w:t>
      </w:r>
      <w:r>
        <w:rPr>
          <w:shd w:val="clear" w:color="auto" w:fill="FFFFFF"/>
        </w:rPr>
        <w:t>万元，增长</w:t>
      </w:r>
      <w:r>
        <w:rPr>
          <w:rFonts w:hint="eastAsia"/>
          <w:shd w:val="clear" w:color="auto" w:fill="FFFFFF"/>
        </w:rPr>
        <w:t>8.3</w:t>
      </w:r>
      <w:r>
        <w:rPr>
          <w:shd w:val="clear" w:color="auto" w:fill="FFFFFF"/>
        </w:rPr>
        <w:t>%，增长原因</w:t>
      </w:r>
      <w:r>
        <w:t>：一是</w:t>
      </w:r>
      <w:r>
        <w:rPr>
          <w:rFonts w:hint="eastAsia"/>
          <w:shd w:val="clear" w:color="auto" w:fill="FFFFFF"/>
        </w:rPr>
        <w:t>单位人员增加</w:t>
      </w:r>
      <w:r>
        <w:t>；二是</w:t>
      </w:r>
      <w:r>
        <w:rPr>
          <w:rFonts w:hint="eastAsia"/>
        </w:rPr>
        <w:t>2023年两个项目的结余资金在2024年继续使用</w:t>
      </w:r>
      <w:r>
        <w:t>。</w:t>
      </w:r>
      <w:r>
        <w:rPr>
          <w:shd w:val="clear" w:color="auto" w:fill="FFFFFF"/>
        </w:rPr>
        <w:t>其中，基本支出</w:t>
      </w:r>
      <w:r>
        <w:rPr>
          <w:rFonts w:hint="eastAsia"/>
          <w:shd w:val="clear" w:color="auto" w:fill="FFFFFF"/>
        </w:rPr>
        <w:t>675.91</w:t>
      </w:r>
      <w:r>
        <w:rPr>
          <w:shd w:val="clear" w:color="auto" w:fill="FFFFFF"/>
        </w:rPr>
        <w:t>万元，占</w:t>
      </w:r>
      <w:r>
        <w:rPr>
          <w:rFonts w:hint="eastAsia"/>
          <w:shd w:val="clear" w:color="auto" w:fill="FFFFFF"/>
        </w:rPr>
        <w:t>90.3</w:t>
      </w:r>
      <w:r>
        <w:rPr>
          <w:shd w:val="clear" w:color="auto" w:fill="FFFFFF"/>
        </w:rPr>
        <w:t>%，主要用于保障机构日常运转、完成日常工作任务等；项目支出</w:t>
      </w:r>
      <w:r>
        <w:rPr>
          <w:rFonts w:hint="eastAsia"/>
          <w:shd w:val="clear" w:color="auto" w:fill="FFFFFF"/>
        </w:rPr>
        <w:t>72.74</w:t>
      </w:r>
      <w:r>
        <w:rPr>
          <w:shd w:val="clear" w:color="auto" w:fill="FFFFFF"/>
        </w:rPr>
        <w:t>万元，占</w:t>
      </w:r>
      <w:r>
        <w:rPr>
          <w:rFonts w:hint="eastAsia"/>
          <w:shd w:val="clear" w:color="auto" w:fill="FFFFFF"/>
        </w:rPr>
        <w:t>9.7</w:t>
      </w:r>
      <w:r>
        <w:rPr>
          <w:shd w:val="clear" w:color="auto" w:fill="FFFFFF"/>
        </w:rPr>
        <w:t>%，主要用于</w:t>
      </w:r>
      <w:r>
        <w:rPr>
          <w:rFonts w:hint="eastAsia"/>
          <w:shd w:val="clear" w:color="auto" w:fill="FFFFFF"/>
        </w:rPr>
        <w:t>开展实施监护的铁路无人看守道路的安全工作和承担领导组日常各项工作等</w:t>
      </w:r>
      <w:r>
        <w:rPr>
          <w:shd w:val="clear" w:color="auto" w:fill="FFFFFF"/>
        </w:rPr>
        <w:t>。</w:t>
      </w:r>
    </w:p>
    <w:p w14:paraId="78B40470">
      <w:pPr>
        <w:pStyle w:val="9"/>
        <w:adjustRightInd w:val="0"/>
        <w:snapToGrid w:val="0"/>
        <w:spacing w:before="0" w:beforeAutospacing="0" w:after="0" w:afterAutospacing="0" w:line="600" w:lineRule="exact"/>
        <w:ind w:firstLine="627" w:firstLineChars="196"/>
        <w:rPr>
          <w:rFonts w:ascii="黑体" w:hAnsi="黑体" w:eastAsia="黑体" w:cs="Times New Roman"/>
          <w:sz w:val="32"/>
          <w:szCs w:val="32"/>
        </w:rPr>
      </w:pPr>
      <w:r>
        <w:rPr>
          <w:rFonts w:hint="eastAsia" w:ascii="黑体" w:hAnsi="黑体" w:eastAsia="黑体" w:cs="Times New Roman"/>
          <w:sz w:val="32"/>
          <w:szCs w:val="32"/>
        </w:rPr>
        <w:t>四、</w:t>
      </w:r>
      <w:r>
        <w:rPr>
          <w:rFonts w:ascii="黑体" w:hAnsi="黑体" w:eastAsia="黑体" w:cs="Times New Roman"/>
          <w:sz w:val="32"/>
          <w:szCs w:val="32"/>
        </w:rPr>
        <w:t>关于2024年</w:t>
      </w:r>
      <w:r>
        <w:rPr>
          <w:rFonts w:hint="eastAsia" w:ascii="黑体" w:hAnsi="黑体" w:eastAsia="黑体" w:cs="Times New Roman"/>
          <w:sz w:val="32"/>
          <w:szCs w:val="32"/>
        </w:rPr>
        <w:t>财政</w:t>
      </w:r>
      <w:r>
        <w:rPr>
          <w:rFonts w:ascii="黑体" w:hAnsi="黑体" w:eastAsia="黑体" w:cs="Times New Roman"/>
          <w:sz w:val="32"/>
          <w:szCs w:val="32"/>
        </w:rPr>
        <w:t>拨款收支预算总体情况说明</w:t>
      </w:r>
    </w:p>
    <w:p w14:paraId="15D77302">
      <w:pPr>
        <w:pStyle w:val="17"/>
      </w:pPr>
      <w:r>
        <w:t>黄山市</w:t>
      </w:r>
      <w:r>
        <w:rPr>
          <w:rFonts w:hint="eastAsia"/>
        </w:rPr>
        <w:t>经济和信息化局</w:t>
      </w:r>
      <w:r>
        <w:t>2024年财政拨款收支预算</w:t>
      </w:r>
      <w:r>
        <w:rPr>
          <w:rFonts w:hint="eastAsia"/>
        </w:rPr>
        <w:t>748.65</w:t>
      </w:r>
      <w:r>
        <w:t>万元。收入按资金来源分为：一般公共预算拨款</w:t>
      </w:r>
      <w:r>
        <w:rPr>
          <w:rFonts w:hint="eastAsia"/>
        </w:rPr>
        <w:t>748.65</w:t>
      </w:r>
      <w:r>
        <w:t>万元；按资金年度分为：当年财政拨款收入</w:t>
      </w:r>
      <w:r>
        <w:rPr>
          <w:rFonts w:hint="eastAsia"/>
        </w:rPr>
        <w:t>732.91</w:t>
      </w:r>
      <w:r>
        <w:t>万元，上年结转</w:t>
      </w:r>
      <w:r>
        <w:rPr>
          <w:rFonts w:hint="eastAsia"/>
        </w:rPr>
        <w:t>15.74</w:t>
      </w:r>
      <w:r>
        <w:t>万元。支出按功能分类分为：一般公共服务支出</w:t>
      </w:r>
      <w:r>
        <w:rPr>
          <w:rFonts w:hint="eastAsia"/>
        </w:rPr>
        <w:t>1.1</w:t>
      </w:r>
      <w:r>
        <w:t>万元，占</w:t>
      </w:r>
      <w:r>
        <w:rPr>
          <w:rFonts w:hint="eastAsia"/>
        </w:rPr>
        <w:t>0.15</w:t>
      </w:r>
      <w:r>
        <w:t>%；社会保障和就业支出</w:t>
      </w:r>
      <w:r>
        <w:rPr>
          <w:rFonts w:hint="eastAsia"/>
        </w:rPr>
        <w:t>201.92</w:t>
      </w:r>
      <w:r>
        <w:t>万元，占</w:t>
      </w:r>
      <w:r>
        <w:rPr>
          <w:rFonts w:hint="eastAsia"/>
        </w:rPr>
        <w:t>26.97</w:t>
      </w:r>
      <w:r>
        <w:t>%；卫生健康支出</w:t>
      </w:r>
      <w:r>
        <w:rPr>
          <w:rFonts w:hint="eastAsia"/>
        </w:rPr>
        <w:t>40.42</w:t>
      </w:r>
      <w:r>
        <w:t>万元，占</w:t>
      </w:r>
      <w:r>
        <w:rPr>
          <w:rFonts w:hint="eastAsia"/>
        </w:rPr>
        <w:t>5.4</w:t>
      </w:r>
      <w:r>
        <w:t>%；</w:t>
      </w:r>
      <w:r>
        <w:rPr>
          <w:rFonts w:hint="eastAsia"/>
        </w:rPr>
        <w:t>资源勘探工业信息等支出464.47万元，占比62.04%；</w:t>
      </w:r>
      <w:r>
        <w:t>住房保障支出</w:t>
      </w:r>
      <w:r>
        <w:rPr>
          <w:rFonts w:hint="eastAsia"/>
        </w:rPr>
        <w:t>40.74</w:t>
      </w:r>
      <w:r>
        <w:t>万元，占</w:t>
      </w:r>
      <w:r>
        <w:rPr>
          <w:rFonts w:hint="eastAsia"/>
        </w:rPr>
        <w:t>5.44</w:t>
      </w:r>
      <w:r>
        <w:t>%。</w:t>
      </w:r>
    </w:p>
    <w:p w14:paraId="525A5CEF">
      <w:pPr>
        <w:pStyle w:val="9"/>
        <w:adjustRightInd w:val="0"/>
        <w:snapToGrid w:val="0"/>
        <w:spacing w:before="0" w:beforeAutospacing="0" w:after="0" w:afterAutospacing="0" w:line="600" w:lineRule="exact"/>
        <w:ind w:firstLine="627" w:firstLineChars="196"/>
        <w:rPr>
          <w:rFonts w:ascii="黑体" w:hAnsi="黑体" w:eastAsia="黑体" w:cs="Times New Roman"/>
          <w:sz w:val="32"/>
          <w:szCs w:val="32"/>
        </w:rPr>
      </w:pPr>
      <w:r>
        <w:rPr>
          <w:rFonts w:hint="eastAsia" w:ascii="黑体" w:hAnsi="黑体" w:eastAsia="黑体" w:cs="Times New Roman"/>
          <w:sz w:val="32"/>
          <w:szCs w:val="32"/>
        </w:rPr>
        <w:t>五、</w:t>
      </w:r>
      <w:r>
        <w:rPr>
          <w:rFonts w:ascii="黑体" w:hAnsi="黑体" w:eastAsia="黑体" w:cs="Times New Roman"/>
          <w:sz w:val="32"/>
          <w:szCs w:val="32"/>
        </w:rPr>
        <w:t>关于2024年一般公共预算</w:t>
      </w:r>
      <w:r>
        <w:rPr>
          <w:rFonts w:hint="eastAsia" w:ascii="黑体" w:hAnsi="黑体" w:eastAsia="黑体" w:cs="Times New Roman"/>
          <w:sz w:val="32"/>
          <w:szCs w:val="32"/>
        </w:rPr>
        <w:t>财政</w:t>
      </w:r>
      <w:r>
        <w:rPr>
          <w:rFonts w:ascii="黑体" w:hAnsi="黑体" w:eastAsia="黑体" w:cs="Times New Roman"/>
          <w:sz w:val="32"/>
          <w:szCs w:val="32"/>
        </w:rPr>
        <w:t>拨款情况说明</w:t>
      </w:r>
    </w:p>
    <w:p w14:paraId="1B9DAAF3">
      <w:pPr>
        <w:pStyle w:val="9"/>
        <w:adjustRightInd w:val="0"/>
        <w:snapToGrid w:val="0"/>
        <w:spacing w:before="0" w:beforeAutospacing="0" w:after="0" w:afterAutospacing="0" w:line="600" w:lineRule="exact"/>
        <w:ind w:firstLine="627" w:firstLineChars="196"/>
        <w:rPr>
          <w:rFonts w:ascii="Times New Roman" w:hAnsi="Times New Roman" w:eastAsia="楷体_GB2312" w:cs="Times New Roman"/>
          <w:b/>
          <w:kern w:val="2"/>
          <w:sz w:val="32"/>
          <w:szCs w:val="32"/>
        </w:rPr>
      </w:pPr>
      <w:r>
        <w:rPr>
          <w:rFonts w:ascii="Times New Roman" w:hAnsi="Times New Roman" w:eastAsia="楷体_GB2312" w:cs="Times New Roman"/>
          <w:b/>
          <w:kern w:val="2"/>
          <w:sz w:val="32"/>
          <w:szCs w:val="32"/>
        </w:rPr>
        <w:t>（一）一般公共预算拨款规模变化情况。</w:t>
      </w:r>
    </w:p>
    <w:p w14:paraId="042376D3">
      <w:pPr>
        <w:pStyle w:val="17"/>
      </w:pPr>
      <w:r>
        <w:t>黄山市</w:t>
      </w:r>
      <w:r>
        <w:rPr>
          <w:rFonts w:hint="eastAsia"/>
        </w:rPr>
        <w:t>经济和信息化局</w:t>
      </w:r>
      <w:r>
        <w:t>2024年一般公共预算拨款</w:t>
      </w:r>
      <w:r>
        <w:rPr>
          <w:rFonts w:hint="eastAsia"/>
        </w:rPr>
        <w:t>748.65</w:t>
      </w:r>
      <w:r>
        <w:t>万元，比2023年预算拨款增加</w:t>
      </w:r>
      <w:r>
        <w:rPr>
          <w:rFonts w:hint="eastAsia"/>
          <w:shd w:val="clear" w:color="auto" w:fill="FFFFFF"/>
        </w:rPr>
        <w:t>57.27</w:t>
      </w:r>
      <w:r>
        <w:t>万元，增长</w:t>
      </w:r>
      <w:r>
        <w:rPr>
          <w:rFonts w:hint="eastAsia"/>
        </w:rPr>
        <w:t>8.3</w:t>
      </w:r>
      <w:r>
        <w:t>%，主要原因：一是</w:t>
      </w:r>
      <w:r>
        <w:rPr>
          <w:rFonts w:hint="eastAsia"/>
          <w:shd w:val="clear" w:color="auto" w:fill="FFFFFF"/>
        </w:rPr>
        <w:t>单位人员增加</w:t>
      </w:r>
      <w:r>
        <w:t>；二是</w:t>
      </w:r>
      <w:r>
        <w:rPr>
          <w:rFonts w:hint="eastAsia"/>
        </w:rPr>
        <w:t>2023年两个项目的结余资金在2024年继续使用</w:t>
      </w:r>
      <w:r>
        <w:t>。</w:t>
      </w:r>
    </w:p>
    <w:p w14:paraId="23249FBA">
      <w:pPr>
        <w:pStyle w:val="9"/>
        <w:adjustRightInd w:val="0"/>
        <w:snapToGrid w:val="0"/>
        <w:spacing w:before="0" w:beforeAutospacing="0" w:after="0" w:afterAutospacing="0" w:line="600" w:lineRule="exact"/>
        <w:ind w:firstLine="627" w:firstLineChars="196"/>
        <w:rPr>
          <w:rFonts w:ascii="Times New Roman" w:hAnsi="Times New Roman" w:eastAsia="楷体_GB2312" w:cs="Times New Roman"/>
          <w:b/>
          <w:kern w:val="2"/>
          <w:sz w:val="32"/>
          <w:szCs w:val="32"/>
        </w:rPr>
      </w:pPr>
      <w:r>
        <w:rPr>
          <w:rFonts w:ascii="Times New Roman" w:hAnsi="Times New Roman" w:eastAsia="楷体_GB2312" w:cs="Times New Roman"/>
          <w:b/>
          <w:kern w:val="2"/>
          <w:sz w:val="32"/>
          <w:szCs w:val="32"/>
        </w:rPr>
        <w:t>（二）一般公共预算拨款结构情况。</w:t>
      </w:r>
    </w:p>
    <w:p w14:paraId="1565E095">
      <w:pPr>
        <w:pStyle w:val="17"/>
      </w:pPr>
      <w:r>
        <w:t>黄山市</w:t>
      </w:r>
      <w:r>
        <w:rPr>
          <w:rFonts w:hint="eastAsia"/>
        </w:rPr>
        <w:t>经济和信息化局</w:t>
      </w:r>
      <w:r>
        <w:t>2024年一般公共服务支出</w:t>
      </w:r>
      <w:r>
        <w:rPr>
          <w:rFonts w:hint="eastAsia"/>
        </w:rPr>
        <w:t>1.1</w:t>
      </w:r>
      <w:r>
        <w:t>万元，占</w:t>
      </w:r>
      <w:r>
        <w:rPr>
          <w:rFonts w:hint="eastAsia"/>
        </w:rPr>
        <w:t>0.15</w:t>
      </w:r>
      <w:r>
        <w:t>%；社会保障和就业支出</w:t>
      </w:r>
      <w:r>
        <w:rPr>
          <w:rFonts w:hint="eastAsia"/>
        </w:rPr>
        <w:t>201.92</w:t>
      </w:r>
      <w:r>
        <w:t>万元，占</w:t>
      </w:r>
      <w:r>
        <w:rPr>
          <w:rFonts w:hint="eastAsia"/>
        </w:rPr>
        <w:t>26.97</w:t>
      </w:r>
      <w:r>
        <w:t>%；卫生健康支出</w:t>
      </w:r>
      <w:r>
        <w:rPr>
          <w:rFonts w:hint="eastAsia"/>
        </w:rPr>
        <w:t>40.42</w:t>
      </w:r>
      <w:r>
        <w:t>万元，占</w:t>
      </w:r>
      <w:r>
        <w:rPr>
          <w:rFonts w:hint="eastAsia"/>
        </w:rPr>
        <w:t>5.4</w:t>
      </w:r>
      <w:r>
        <w:t>%；</w:t>
      </w:r>
      <w:r>
        <w:rPr>
          <w:rFonts w:hint="eastAsia"/>
        </w:rPr>
        <w:t>资源勘探工业信息等支出464.47万元，占比62.04%；</w:t>
      </w:r>
      <w:r>
        <w:t>住房保障支出</w:t>
      </w:r>
      <w:r>
        <w:rPr>
          <w:rFonts w:hint="eastAsia"/>
        </w:rPr>
        <w:t>40.74</w:t>
      </w:r>
      <w:r>
        <w:t>万元，占</w:t>
      </w:r>
      <w:r>
        <w:rPr>
          <w:rFonts w:hint="eastAsia"/>
        </w:rPr>
        <w:t>5.44</w:t>
      </w:r>
      <w:r>
        <w:t>%。</w:t>
      </w:r>
    </w:p>
    <w:p w14:paraId="01C00187">
      <w:pPr>
        <w:adjustRightInd w:val="0"/>
        <w:snapToGrid w:val="0"/>
        <w:spacing w:line="600" w:lineRule="exact"/>
        <w:ind w:firstLine="640" w:firstLineChars="200"/>
        <w:rPr>
          <w:rFonts w:eastAsia="楷体_GB2312"/>
          <w:b/>
          <w:sz w:val="32"/>
          <w:szCs w:val="32"/>
        </w:rPr>
      </w:pPr>
      <w:r>
        <w:rPr>
          <w:rFonts w:eastAsia="楷体_GB2312"/>
          <w:b/>
          <w:sz w:val="32"/>
          <w:szCs w:val="32"/>
        </w:rPr>
        <w:t>（三）一般公共预算拨款具体使用情况。</w:t>
      </w:r>
    </w:p>
    <w:p w14:paraId="25BBEC1F">
      <w:pPr>
        <w:pStyle w:val="17"/>
      </w:pPr>
      <w:r>
        <w:t xml:space="preserve">1. </w:t>
      </w:r>
      <w:r>
        <w:rPr>
          <w:b/>
          <w:bCs/>
        </w:rPr>
        <w:t>一般公共服务支出（类）</w:t>
      </w:r>
      <w:r>
        <w:rPr>
          <w:rFonts w:hint="eastAsia"/>
          <w:b/>
          <w:bCs/>
        </w:rPr>
        <w:t>其他共产党事务支出</w:t>
      </w:r>
      <w:r>
        <w:rPr>
          <w:b/>
          <w:bCs/>
        </w:rPr>
        <w:t>（款）</w:t>
      </w:r>
      <w:r>
        <w:rPr>
          <w:rFonts w:hint="eastAsia"/>
          <w:b/>
          <w:bCs/>
        </w:rPr>
        <w:t>其他共产党事务支出</w:t>
      </w:r>
      <w:r>
        <w:rPr>
          <w:b/>
          <w:bCs/>
        </w:rPr>
        <w:t>（项）</w:t>
      </w:r>
      <w:r>
        <w:t>2024</w:t>
      </w:r>
      <w:r>
        <w:rPr>
          <w:rFonts w:hint="eastAsia"/>
        </w:rPr>
        <w:t>年预算1.1万元，比</w:t>
      </w:r>
      <w:r>
        <w:t>2023</w:t>
      </w:r>
      <w:r>
        <w:rPr>
          <w:rFonts w:hint="eastAsia"/>
        </w:rPr>
        <w:t>年预算增加0.1万元，增长10%，增长原因主要是单位党员数增加2人。</w:t>
      </w:r>
    </w:p>
    <w:p w14:paraId="4F7FB20F">
      <w:pPr>
        <w:pStyle w:val="17"/>
      </w:pPr>
      <w:r>
        <w:rPr>
          <w:rFonts w:hint="eastAsia"/>
        </w:rPr>
        <w:t>2.</w:t>
      </w:r>
      <w:r>
        <w:rPr>
          <w:rFonts w:hint="eastAsia"/>
          <w:b/>
          <w:bCs/>
        </w:rPr>
        <w:t>社会保障和就业支出（类）行政事业单位养老支出（款）行政单位离退休（项）</w:t>
      </w:r>
      <w:r>
        <w:t>2024</w:t>
      </w:r>
      <w:r>
        <w:rPr>
          <w:rFonts w:hint="eastAsia"/>
        </w:rPr>
        <w:t>年预算125.91万元，比</w:t>
      </w:r>
      <w:r>
        <w:t>2023</w:t>
      </w:r>
      <w:r>
        <w:rPr>
          <w:rFonts w:hint="eastAsia"/>
        </w:rPr>
        <w:t>年预算减少7.6万元，下降5.7%，下降原因主要是市财政按每人每年2.8万元下拨预算。</w:t>
      </w:r>
    </w:p>
    <w:p w14:paraId="458CC6DB">
      <w:pPr>
        <w:pStyle w:val="17"/>
      </w:pPr>
      <w:r>
        <w:rPr>
          <w:rFonts w:hint="eastAsia"/>
        </w:rPr>
        <w:t>3.</w:t>
      </w:r>
      <w:r>
        <w:rPr>
          <w:rFonts w:hint="eastAsia"/>
          <w:b/>
          <w:bCs/>
        </w:rPr>
        <w:t>社会保障和就业支出（类）行政事业单位养老支出（款）机关事业单位基本养老保险缴费支出（项）</w:t>
      </w:r>
      <w:r>
        <w:t>2024</w:t>
      </w:r>
      <w:r>
        <w:rPr>
          <w:rFonts w:hint="eastAsia"/>
        </w:rPr>
        <w:t>年预算50.67万元，比</w:t>
      </w:r>
      <w:r>
        <w:t>2023</w:t>
      </w:r>
      <w:r>
        <w:rPr>
          <w:rFonts w:hint="eastAsia"/>
        </w:rPr>
        <w:t>年预算增加4.71万元，增长10.2%，增长原因主要是</w:t>
      </w:r>
      <w:r>
        <w:t>养老</w:t>
      </w:r>
      <w:r>
        <w:rPr>
          <w:rFonts w:hint="eastAsia"/>
        </w:rPr>
        <w:t>保险</w:t>
      </w:r>
      <w:r>
        <w:t>随工资基数增长</w:t>
      </w:r>
      <w:r>
        <w:rPr>
          <w:rFonts w:hint="eastAsia"/>
        </w:rPr>
        <w:t>。</w:t>
      </w:r>
    </w:p>
    <w:p w14:paraId="6A24F964">
      <w:pPr>
        <w:pStyle w:val="17"/>
      </w:pPr>
      <w:r>
        <w:rPr>
          <w:rFonts w:hint="eastAsia"/>
        </w:rPr>
        <w:t>4.</w:t>
      </w:r>
      <w:r>
        <w:rPr>
          <w:rFonts w:hint="eastAsia"/>
          <w:b/>
          <w:bCs/>
        </w:rPr>
        <w:t>社会保障和就业支出（类）行政事业单位养老支出（款）机关事业单位职业年金缴费支出（项）</w:t>
      </w:r>
      <w:r>
        <w:t>2024</w:t>
      </w:r>
      <w:r>
        <w:rPr>
          <w:rFonts w:hint="eastAsia"/>
        </w:rPr>
        <w:t>年预算25.33万元，比</w:t>
      </w:r>
      <w:r>
        <w:t>2023</w:t>
      </w:r>
      <w:r>
        <w:rPr>
          <w:rFonts w:hint="eastAsia"/>
        </w:rPr>
        <w:t>年预算增加2.35万元，增长10.2%，增长原因主要是</w:t>
      </w:r>
      <w:r>
        <w:t>养老</w:t>
      </w:r>
      <w:r>
        <w:rPr>
          <w:rFonts w:hint="eastAsia"/>
        </w:rPr>
        <w:t>保险</w:t>
      </w:r>
      <w:r>
        <w:t>随工资基数增长</w:t>
      </w:r>
      <w:r>
        <w:rPr>
          <w:rFonts w:hint="eastAsia"/>
        </w:rPr>
        <w:t>。</w:t>
      </w:r>
    </w:p>
    <w:p w14:paraId="6201A03A">
      <w:pPr>
        <w:pStyle w:val="17"/>
      </w:pPr>
      <w:r>
        <w:rPr>
          <w:rFonts w:hint="eastAsia"/>
        </w:rPr>
        <w:t>5.</w:t>
      </w:r>
      <w:r>
        <w:rPr>
          <w:rFonts w:hint="eastAsia"/>
          <w:b/>
          <w:bCs/>
        </w:rPr>
        <w:t>卫生健康支出（类）公共卫生（款）重大公共卫生服务（项）</w:t>
      </w:r>
      <w:r>
        <w:t>2024</w:t>
      </w:r>
      <w:r>
        <w:rPr>
          <w:rFonts w:hint="eastAsia"/>
        </w:rPr>
        <w:t>年预算12.74万元，比</w:t>
      </w:r>
      <w:r>
        <w:t>2023</w:t>
      </w:r>
      <w:r>
        <w:rPr>
          <w:rFonts w:hint="eastAsia"/>
        </w:rPr>
        <w:t>年预算增加12.74万元，增长原因主要是2023年疫情防控及边境能力建设补助资金项目的结余资金在2024年继续使用</w:t>
      </w:r>
      <w:r>
        <w:t>。</w:t>
      </w:r>
    </w:p>
    <w:p w14:paraId="675776AD">
      <w:pPr>
        <w:pStyle w:val="17"/>
      </w:pPr>
      <w:r>
        <w:rPr>
          <w:rFonts w:hint="eastAsia"/>
        </w:rPr>
        <w:t>6.</w:t>
      </w:r>
      <w:r>
        <w:rPr>
          <w:rFonts w:hint="eastAsia"/>
          <w:b/>
          <w:bCs/>
        </w:rPr>
        <w:t>卫生健康支出（类）行政事业单位医疗（款）行政单位医疗（项）</w:t>
      </w:r>
      <w:r>
        <w:t>2024</w:t>
      </w:r>
      <w:r>
        <w:rPr>
          <w:rFonts w:hint="eastAsia"/>
        </w:rPr>
        <w:t>年预算27.68万元，比</w:t>
      </w:r>
      <w:r>
        <w:t>2023</w:t>
      </w:r>
      <w:r>
        <w:rPr>
          <w:rFonts w:hint="eastAsia"/>
        </w:rPr>
        <w:t>年预算增加2.05万元，增长8.0%，增长原因主要是</w:t>
      </w:r>
      <w:r>
        <w:t>行政单位医疗保险等支出随工资基数增长</w:t>
      </w:r>
      <w:r>
        <w:rPr>
          <w:rFonts w:hint="eastAsia"/>
        </w:rPr>
        <w:t>。</w:t>
      </w:r>
    </w:p>
    <w:p w14:paraId="4C3E08B5">
      <w:pPr>
        <w:pStyle w:val="17"/>
      </w:pPr>
      <w:r>
        <w:rPr>
          <w:rFonts w:hint="eastAsia"/>
        </w:rPr>
        <w:t>7.</w:t>
      </w:r>
      <w:r>
        <w:rPr>
          <w:rFonts w:hint="eastAsia"/>
          <w:b/>
          <w:bCs/>
        </w:rPr>
        <w:t>资源勘探工业信息等支出（类）工业和信息产业监管（款）行政运行（项）</w:t>
      </w:r>
      <w:r>
        <w:t>2024</w:t>
      </w:r>
      <w:r>
        <w:rPr>
          <w:rFonts w:hint="eastAsia"/>
        </w:rPr>
        <w:t>年预算461.47万元，比</w:t>
      </w:r>
      <w:r>
        <w:t>2023</w:t>
      </w:r>
      <w:r>
        <w:rPr>
          <w:rFonts w:hint="eastAsia"/>
        </w:rPr>
        <w:t>年预算增加461.47万元，增长原因：一是2023年此项预算资金使用一般行政管理事务（项）；二是单位人员增加以及社会保险、公积金等随工资基数增长。</w:t>
      </w:r>
    </w:p>
    <w:p w14:paraId="0DB70AC8">
      <w:pPr>
        <w:pStyle w:val="17"/>
      </w:pPr>
      <w:r>
        <w:rPr>
          <w:rFonts w:hint="eastAsia"/>
        </w:rPr>
        <w:t>8.</w:t>
      </w:r>
      <w:r>
        <w:rPr>
          <w:rFonts w:hint="eastAsia"/>
          <w:b/>
          <w:bCs/>
        </w:rPr>
        <w:t>资源勘探工业信息等支出（类）其他资源勘探工业信息等支出（款）其他资源勘探工业信息等支出（项）</w:t>
      </w:r>
      <w:r>
        <w:t>2024</w:t>
      </w:r>
      <w:r>
        <w:rPr>
          <w:rFonts w:hint="eastAsia"/>
        </w:rPr>
        <w:t>年预算3万元，比</w:t>
      </w:r>
      <w:r>
        <w:t>2023</w:t>
      </w:r>
      <w:r>
        <w:rPr>
          <w:rFonts w:hint="eastAsia"/>
        </w:rPr>
        <w:t>年预算增加3万元，增长原因主要是2023年省级制造强省建设资金(数字化转型推动制造业高端化智能化绿色化发展若干政策资金)项目结余资金在2024年继续使用。</w:t>
      </w:r>
    </w:p>
    <w:p w14:paraId="45F16ECB">
      <w:pPr>
        <w:pStyle w:val="17"/>
      </w:pPr>
      <w:r>
        <w:rPr>
          <w:rFonts w:hint="eastAsia"/>
        </w:rPr>
        <w:t>9.</w:t>
      </w:r>
      <w:r>
        <w:rPr>
          <w:b/>
          <w:bCs/>
        </w:rPr>
        <w:t>住房保障支出（类）住房改革支出（款）住房公积金（项）</w:t>
      </w:r>
      <w:r>
        <w:t>202</w:t>
      </w:r>
      <w:r>
        <w:rPr>
          <w:rFonts w:hint="eastAsia"/>
        </w:rPr>
        <w:t>4</w:t>
      </w:r>
      <w:r>
        <w:t>年预算</w:t>
      </w:r>
      <w:r>
        <w:rPr>
          <w:rFonts w:hint="eastAsia"/>
        </w:rPr>
        <w:t>40.74</w:t>
      </w:r>
      <w:r>
        <w:t>万元，比202</w:t>
      </w:r>
      <w:r>
        <w:rPr>
          <w:rFonts w:hint="eastAsia"/>
        </w:rPr>
        <w:t>3</w:t>
      </w:r>
      <w:r>
        <w:t>年预算增加</w:t>
      </w:r>
      <w:r>
        <w:rPr>
          <w:rFonts w:hint="eastAsia"/>
        </w:rPr>
        <w:t>3.75</w:t>
      </w:r>
      <w:r>
        <w:t>万元，增长</w:t>
      </w:r>
      <w:r>
        <w:rPr>
          <w:rFonts w:hint="eastAsia"/>
        </w:rPr>
        <w:t>10.1</w:t>
      </w:r>
      <w:r>
        <w:t>%，增长原因主要是住房公积金缴存基数随工资基数增长。</w:t>
      </w:r>
    </w:p>
    <w:p w14:paraId="6A0FAA1F">
      <w:pPr>
        <w:pStyle w:val="9"/>
        <w:adjustRightInd w:val="0"/>
        <w:snapToGrid w:val="0"/>
        <w:spacing w:before="0" w:beforeAutospacing="0" w:after="0" w:afterAutospacing="0" w:line="600" w:lineRule="exact"/>
        <w:ind w:firstLine="627" w:firstLineChars="196"/>
        <w:rPr>
          <w:rFonts w:ascii="黑体" w:hAnsi="黑体" w:eastAsia="黑体" w:cs="Times New Roman"/>
          <w:sz w:val="32"/>
          <w:szCs w:val="32"/>
        </w:rPr>
      </w:pPr>
      <w:r>
        <w:rPr>
          <w:rFonts w:hint="eastAsia" w:ascii="黑体" w:hAnsi="黑体" w:eastAsia="黑体" w:cs="Times New Roman"/>
          <w:sz w:val="32"/>
          <w:szCs w:val="32"/>
        </w:rPr>
        <w:t>六</w:t>
      </w:r>
      <w:r>
        <w:rPr>
          <w:rFonts w:ascii="黑体" w:hAnsi="黑体" w:eastAsia="黑体" w:cs="Times New Roman"/>
          <w:sz w:val="32"/>
          <w:szCs w:val="32"/>
        </w:rPr>
        <w:t>、关于2024年一般公共预算基本支出情况说明</w:t>
      </w:r>
    </w:p>
    <w:p w14:paraId="2DF9254A">
      <w:pPr>
        <w:pStyle w:val="17"/>
      </w:pPr>
      <w:r>
        <w:t>黄山市</w:t>
      </w:r>
      <w:r>
        <w:rPr>
          <w:rFonts w:hint="eastAsia"/>
        </w:rPr>
        <w:t>经济和信息化局</w:t>
      </w:r>
      <w:r>
        <w:t>2024年一般公共预算基本支出</w:t>
      </w:r>
      <w:r>
        <w:rPr>
          <w:rFonts w:hint="eastAsia"/>
        </w:rPr>
        <w:t>675.91</w:t>
      </w:r>
      <w:r>
        <w:t>万元，其中：</w:t>
      </w:r>
    </w:p>
    <w:p w14:paraId="4DB11FE6">
      <w:pPr>
        <w:pStyle w:val="17"/>
      </w:pPr>
      <w:r>
        <w:t>工资福利支出</w:t>
      </w:r>
      <w:r>
        <w:rPr>
          <w:rFonts w:hint="eastAsia"/>
        </w:rPr>
        <w:t>497.22</w:t>
      </w:r>
      <w:r>
        <w:t>万元，主要包括：基本工资、津贴补贴、</w:t>
      </w:r>
      <w:r>
        <w:rPr>
          <w:rFonts w:hint="eastAsia"/>
        </w:rPr>
        <w:t>奖金</w:t>
      </w:r>
      <w:r>
        <w:t>、机关事业单位基本养老保险缴费、职业年金缴费、职工基本医疗保险缴费、</w:t>
      </w:r>
      <w:r>
        <w:rPr>
          <w:rFonts w:hint="eastAsia"/>
        </w:rPr>
        <w:t>其他社会保障缴费、</w:t>
      </w:r>
      <w:r>
        <w:t>住房公积金、医疗费等。</w:t>
      </w:r>
    </w:p>
    <w:p w14:paraId="52A4A5B1">
      <w:pPr>
        <w:pStyle w:val="17"/>
      </w:pPr>
      <w:r>
        <w:t>商品和服务支出</w:t>
      </w:r>
      <w:r>
        <w:rPr>
          <w:rFonts w:hint="eastAsia"/>
        </w:rPr>
        <w:t>55.07</w:t>
      </w:r>
      <w:r>
        <w:t>万元，主要包括：印刷费、手续费、水费、电费、邮电费、差旅费、维修（护）费、</w:t>
      </w:r>
      <w:r>
        <w:rPr>
          <w:rFonts w:hint="eastAsia"/>
        </w:rPr>
        <w:t>公务接待费</w:t>
      </w:r>
      <w:r>
        <w:t>、工会经费、福利费、其他交通费、其他商品和服务支出等。</w:t>
      </w:r>
    </w:p>
    <w:p w14:paraId="4E9A4576">
      <w:pPr>
        <w:pStyle w:val="17"/>
      </w:pPr>
      <w:r>
        <w:t>对个人和家庭的补助</w:t>
      </w:r>
      <w:r>
        <w:rPr>
          <w:rFonts w:hint="eastAsia"/>
        </w:rPr>
        <w:t>123.62</w:t>
      </w:r>
      <w:r>
        <w:t>万元，主要包括：离休费、退休费、奖励金等。</w:t>
      </w:r>
    </w:p>
    <w:p w14:paraId="4BACD0A0">
      <w:pPr>
        <w:pStyle w:val="9"/>
        <w:adjustRightInd w:val="0"/>
        <w:snapToGrid w:val="0"/>
        <w:spacing w:before="0" w:beforeAutospacing="0" w:after="0" w:afterAutospacing="0" w:line="600" w:lineRule="exact"/>
        <w:ind w:firstLine="627" w:firstLineChars="196"/>
        <w:rPr>
          <w:rFonts w:ascii="黑体" w:hAnsi="黑体" w:eastAsia="黑体" w:cs="Times New Roman"/>
          <w:sz w:val="32"/>
          <w:szCs w:val="32"/>
        </w:rPr>
      </w:pPr>
      <w:r>
        <w:rPr>
          <w:rFonts w:hint="eastAsia" w:ascii="黑体" w:hAnsi="黑体" w:eastAsia="黑体" w:cs="Times New Roman"/>
          <w:sz w:val="32"/>
          <w:szCs w:val="32"/>
        </w:rPr>
        <w:t>七</w:t>
      </w:r>
      <w:r>
        <w:rPr>
          <w:rFonts w:ascii="黑体" w:hAnsi="黑体" w:eastAsia="黑体" w:cs="Times New Roman"/>
          <w:sz w:val="32"/>
          <w:szCs w:val="32"/>
        </w:rPr>
        <w:t>、关于2024年政府性基金预算拨款情况说明</w:t>
      </w:r>
    </w:p>
    <w:p w14:paraId="3DF01A6B">
      <w:pPr>
        <w:pStyle w:val="17"/>
      </w:pPr>
      <w:r>
        <w:t>黄山市</w:t>
      </w:r>
      <w:r>
        <w:rPr>
          <w:rFonts w:hint="eastAsia"/>
        </w:rPr>
        <w:t>经济和信息化局</w:t>
      </w:r>
      <w:r>
        <w:t>2024年没有政府性基金预算拨款收入，也没有使用政府性基金预算拨款安排的支出。</w:t>
      </w:r>
    </w:p>
    <w:p w14:paraId="7997460A">
      <w:pPr>
        <w:pStyle w:val="9"/>
        <w:adjustRightInd w:val="0"/>
        <w:snapToGrid w:val="0"/>
        <w:spacing w:before="0" w:beforeAutospacing="0" w:after="0" w:afterAutospacing="0" w:line="600" w:lineRule="exact"/>
        <w:ind w:firstLine="627" w:firstLineChars="196"/>
        <w:rPr>
          <w:rFonts w:ascii="黑体" w:hAnsi="黑体" w:eastAsia="黑体" w:cs="Times New Roman"/>
          <w:sz w:val="32"/>
          <w:szCs w:val="32"/>
        </w:rPr>
      </w:pPr>
      <w:r>
        <w:rPr>
          <w:rFonts w:hint="eastAsia" w:ascii="黑体" w:hAnsi="黑体" w:eastAsia="黑体" w:cs="Times New Roman"/>
          <w:sz w:val="32"/>
          <w:szCs w:val="32"/>
        </w:rPr>
        <w:t>八</w:t>
      </w:r>
      <w:r>
        <w:rPr>
          <w:rFonts w:ascii="黑体" w:hAnsi="黑体" w:eastAsia="黑体" w:cs="Times New Roman"/>
          <w:sz w:val="32"/>
          <w:szCs w:val="32"/>
        </w:rPr>
        <w:t>、关于2024年国有资本经营预算拨款情况说明</w:t>
      </w:r>
    </w:p>
    <w:p w14:paraId="57AC99D2">
      <w:pPr>
        <w:pStyle w:val="17"/>
      </w:pPr>
      <w:r>
        <w:t>黄山市</w:t>
      </w:r>
      <w:r>
        <w:rPr>
          <w:rFonts w:hint="eastAsia"/>
        </w:rPr>
        <w:t>经济和信息化局</w:t>
      </w:r>
      <w:r>
        <w:t>2024年没有国有资本经营预算拨款收入，也没有使用国有资本经营预算拨款安排的支出。</w:t>
      </w:r>
    </w:p>
    <w:p w14:paraId="0C316507">
      <w:pPr>
        <w:pStyle w:val="9"/>
        <w:adjustRightInd w:val="0"/>
        <w:snapToGrid w:val="0"/>
        <w:spacing w:before="0" w:beforeAutospacing="0" w:after="0" w:afterAutospacing="0" w:line="600" w:lineRule="exact"/>
        <w:ind w:firstLine="627" w:firstLineChars="196"/>
        <w:rPr>
          <w:rFonts w:ascii="黑体" w:hAnsi="黑体" w:eastAsia="黑体" w:cs="Times New Roman"/>
          <w:sz w:val="32"/>
          <w:szCs w:val="32"/>
        </w:rPr>
      </w:pPr>
      <w:r>
        <w:rPr>
          <w:rFonts w:hint="eastAsia" w:ascii="黑体" w:hAnsi="黑体" w:eastAsia="黑体" w:cs="Times New Roman"/>
          <w:sz w:val="32"/>
          <w:szCs w:val="32"/>
        </w:rPr>
        <w:t>九、关于</w:t>
      </w:r>
      <w:r>
        <w:rPr>
          <w:rFonts w:ascii="黑体" w:hAnsi="黑体" w:eastAsia="黑体" w:cs="Times New Roman"/>
          <w:sz w:val="32"/>
          <w:szCs w:val="32"/>
        </w:rPr>
        <w:t>202</w:t>
      </w:r>
      <w:r>
        <w:rPr>
          <w:rFonts w:hint="eastAsia" w:ascii="黑体" w:hAnsi="黑体" w:eastAsia="黑体" w:cs="Times New Roman"/>
          <w:sz w:val="32"/>
          <w:szCs w:val="32"/>
        </w:rPr>
        <w:t>4年项目支出表的说明</w:t>
      </w:r>
    </w:p>
    <w:p w14:paraId="3B6865B2">
      <w:pPr>
        <w:pStyle w:val="17"/>
        <w:rPr>
          <w:rFonts w:ascii="仿宋_GB2312"/>
        </w:rPr>
      </w:pPr>
      <w:r>
        <w:rPr>
          <w:rFonts w:hint="eastAsia" w:ascii="仿宋_GB2312"/>
        </w:rPr>
        <w:t>黄山市经济和信息化局</w:t>
      </w:r>
      <w:r>
        <w:rPr>
          <w:rFonts w:ascii="仿宋_GB2312"/>
        </w:rPr>
        <w:t>2024</w:t>
      </w:r>
      <w:r>
        <w:rPr>
          <w:rFonts w:hint="eastAsia" w:ascii="仿宋_GB2312"/>
        </w:rPr>
        <w:t>年预算共安排项目支出72.74万元，比</w:t>
      </w:r>
      <w:r>
        <w:rPr>
          <w:rFonts w:ascii="仿宋_GB2312"/>
        </w:rPr>
        <w:t>2023</w:t>
      </w:r>
      <w:r>
        <w:rPr>
          <w:rFonts w:hint="eastAsia" w:ascii="仿宋_GB2312"/>
        </w:rPr>
        <w:t>年预算增加15.04万元，增长26.1%，增长原因主要是</w:t>
      </w:r>
      <w:r>
        <w:rPr>
          <w:rFonts w:hint="eastAsia"/>
        </w:rPr>
        <w:t>2023年两个项目的结余资金在2024年继续使用</w:t>
      </w:r>
      <w:r>
        <w:rPr>
          <w:rFonts w:hint="eastAsia" w:ascii="仿宋_GB2312"/>
        </w:rPr>
        <w:t>。主要包括：本年财政拨款安排57万元，其中一般公共预算拨款安排57万元，财政拨款结转结余安排15.74万元，其中一般公共预算拨款安排15.74万元。</w:t>
      </w:r>
    </w:p>
    <w:p w14:paraId="6E123F77">
      <w:pPr>
        <w:pStyle w:val="9"/>
        <w:adjustRightInd w:val="0"/>
        <w:snapToGrid w:val="0"/>
        <w:spacing w:before="0" w:beforeAutospacing="0" w:after="0" w:afterAutospacing="0" w:line="600" w:lineRule="exact"/>
        <w:ind w:firstLine="627" w:firstLineChars="196"/>
        <w:rPr>
          <w:rFonts w:ascii="黑体" w:hAnsi="黑体" w:eastAsia="黑体" w:cs="Times New Roman"/>
          <w:sz w:val="32"/>
          <w:szCs w:val="32"/>
        </w:rPr>
      </w:pPr>
      <w:r>
        <w:rPr>
          <w:rFonts w:hint="eastAsia" w:ascii="黑体" w:hAnsi="黑体" w:eastAsia="黑体" w:cs="Times New Roman"/>
          <w:sz w:val="32"/>
          <w:szCs w:val="32"/>
        </w:rPr>
        <w:t>十、关于</w:t>
      </w:r>
      <w:r>
        <w:rPr>
          <w:rFonts w:ascii="黑体" w:hAnsi="黑体" w:eastAsia="黑体" w:cs="Times New Roman"/>
          <w:sz w:val="32"/>
          <w:szCs w:val="32"/>
        </w:rPr>
        <w:t>2024</w:t>
      </w:r>
      <w:r>
        <w:rPr>
          <w:rFonts w:hint="eastAsia" w:ascii="黑体" w:hAnsi="黑体" w:eastAsia="黑体" w:cs="Times New Roman"/>
          <w:sz w:val="32"/>
          <w:szCs w:val="32"/>
        </w:rPr>
        <w:t>年政府采购支出表的说明</w:t>
      </w:r>
    </w:p>
    <w:p w14:paraId="2FCE5D52">
      <w:pPr>
        <w:pStyle w:val="17"/>
        <w:rPr>
          <w:rFonts w:ascii="仿宋_GB2312"/>
        </w:rPr>
      </w:pPr>
      <w:r>
        <w:rPr>
          <w:rFonts w:hint="eastAsia" w:ascii="仿宋_GB2312"/>
        </w:rPr>
        <w:t>黄山市经济和信息化局</w:t>
      </w:r>
      <w:r>
        <w:rPr>
          <w:rFonts w:ascii="仿宋_GB2312"/>
        </w:rPr>
        <w:t>2024</w:t>
      </w:r>
      <w:r>
        <w:rPr>
          <w:rFonts w:hint="eastAsia" w:ascii="仿宋_GB2312"/>
        </w:rPr>
        <w:t>年预算安排政府采购支出1.5万元，与2023年预算持平。其中，一般公共预算安排1.5万元，占100%。</w:t>
      </w:r>
    </w:p>
    <w:p w14:paraId="092A358B">
      <w:pPr>
        <w:pStyle w:val="9"/>
        <w:adjustRightInd w:val="0"/>
        <w:snapToGrid w:val="0"/>
        <w:spacing w:before="0" w:beforeAutospacing="0" w:after="0" w:afterAutospacing="0" w:line="600" w:lineRule="exact"/>
        <w:ind w:firstLine="627" w:firstLineChars="196"/>
        <w:rPr>
          <w:rFonts w:ascii="黑体" w:hAnsi="黑体" w:eastAsia="黑体" w:cs="Times New Roman"/>
          <w:sz w:val="32"/>
          <w:szCs w:val="32"/>
        </w:rPr>
      </w:pPr>
      <w:r>
        <w:rPr>
          <w:rFonts w:hint="eastAsia" w:ascii="黑体" w:hAnsi="黑体" w:eastAsia="黑体" w:cs="Times New Roman"/>
          <w:sz w:val="32"/>
          <w:szCs w:val="32"/>
        </w:rPr>
        <w:t>十一、关于</w:t>
      </w:r>
      <w:r>
        <w:rPr>
          <w:rFonts w:ascii="黑体" w:hAnsi="黑体" w:eastAsia="黑体" w:cs="Times New Roman"/>
          <w:sz w:val="32"/>
          <w:szCs w:val="32"/>
        </w:rPr>
        <w:t>2024</w:t>
      </w:r>
      <w:r>
        <w:rPr>
          <w:rFonts w:hint="eastAsia" w:ascii="黑体" w:hAnsi="黑体" w:eastAsia="黑体" w:cs="Times New Roman"/>
          <w:sz w:val="32"/>
          <w:szCs w:val="32"/>
        </w:rPr>
        <w:t>年政府购买服务支出表的说明</w:t>
      </w:r>
    </w:p>
    <w:p w14:paraId="20458D80">
      <w:pPr>
        <w:pStyle w:val="17"/>
      </w:pPr>
      <w:r>
        <w:rPr>
          <w:rFonts w:hint="eastAsia"/>
        </w:rPr>
        <w:t>黄山市经济和信息化局</w:t>
      </w:r>
      <w:r>
        <w:t>2024</w:t>
      </w:r>
      <w:r>
        <w:rPr>
          <w:rFonts w:hint="eastAsia"/>
        </w:rPr>
        <w:t>年预算安排政府购买服务支出4.7万元，比</w:t>
      </w:r>
      <w:r>
        <w:t>2023</w:t>
      </w:r>
      <w:r>
        <w:rPr>
          <w:rFonts w:hint="eastAsia"/>
        </w:rPr>
        <w:t>年预算减少0.02万元，下降0.4%，下降原因主要是2024年减少法律顾问费支出。</w:t>
      </w:r>
    </w:p>
    <w:p w14:paraId="1DCEFA4E">
      <w:pPr>
        <w:pStyle w:val="9"/>
        <w:adjustRightInd w:val="0"/>
        <w:snapToGrid w:val="0"/>
        <w:spacing w:before="0" w:beforeAutospacing="0" w:after="0" w:afterAutospacing="0" w:line="600" w:lineRule="exact"/>
        <w:ind w:firstLine="627" w:firstLineChars="196"/>
        <w:rPr>
          <w:rFonts w:ascii="黑体" w:hAnsi="黑体" w:eastAsia="黑体" w:cs="Times New Roman"/>
          <w:sz w:val="32"/>
          <w:szCs w:val="32"/>
        </w:rPr>
      </w:pPr>
      <w:r>
        <w:rPr>
          <w:rFonts w:hint="eastAsia" w:ascii="黑体" w:hAnsi="黑体" w:eastAsia="黑体" w:cs="Times New Roman"/>
          <w:sz w:val="32"/>
          <w:szCs w:val="32"/>
        </w:rPr>
        <w:t>十二、</w:t>
      </w:r>
      <w:r>
        <w:rPr>
          <w:rFonts w:ascii="黑体" w:hAnsi="黑体" w:eastAsia="黑体" w:cs="Times New Roman"/>
          <w:sz w:val="32"/>
          <w:szCs w:val="32"/>
        </w:rPr>
        <w:t>关于2024年“三公”经费预算情况说明</w:t>
      </w:r>
    </w:p>
    <w:p w14:paraId="50F5A63B">
      <w:pPr>
        <w:pStyle w:val="17"/>
      </w:pPr>
      <w:r>
        <w:t>为全面反映“三公”经费支出，本次公开的“三公”经费预算为部门汇总数。2024年，黄山市</w:t>
      </w:r>
      <w:r>
        <w:rPr>
          <w:rFonts w:hint="eastAsia"/>
        </w:rPr>
        <w:t>经济和信息化局</w:t>
      </w:r>
      <w:r>
        <w:t>机关本级和局属单位“三公”经费支出预算</w:t>
      </w:r>
      <w:r>
        <w:rPr>
          <w:rFonts w:hint="eastAsia" w:ascii="仿宋" w:hAnsi="仿宋" w:eastAsia="仿宋"/>
        </w:rPr>
        <w:t>3.25</w:t>
      </w:r>
      <w:r>
        <w:t>万元，</w:t>
      </w:r>
      <w:r>
        <w:rPr>
          <w:rFonts w:hint="eastAsia"/>
        </w:rPr>
        <w:t>与2023年预算持平</w:t>
      </w:r>
      <w:r>
        <w:t>。其中因公出国（境）费</w:t>
      </w:r>
      <w:r>
        <w:rPr>
          <w:rFonts w:hint="eastAsia" w:ascii="仿宋" w:hAnsi="仿宋" w:eastAsia="仿宋"/>
        </w:rPr>
        <w:t>0</w:t>
      </w:r>
      <w:r>
        <w:t>元，公务接待费</w:t>
      </w:r>
      <w:r>
        <w:rPr>
          <w:rFonts w:hint="eastAsia" w:ascii="仿宋" w:hAnsi="仿宋" w:eastAsia="仿宋"/>
        </w:rPr>
        <w:t>3.25</w:t>
      </w:r>
      <w:r>
        <w:t>万元，公务用车购置及运行费</w:t>
      </w:r>
      <w:r>
        <w:rPr>
          <w:rFonts w:hint="eastAsia" w:ascii="仿宋" w:hAnsi="仿宋" w:eastAsia="仿宋"/>
        </w:rPr>
        <w:t>0</w:t>
      </w:r>
      <w:r>
        <w:t>万元。具体情况如下：</w:t>
      </w:r>
    </w:p>
    <w:p w14:paraId="4C3F9487">
      <w:pPr>
        <w:pStyle w:val="17"/>
        <w:ind w:firstLine="643"/>
        <w:rPr>
          <w:color w:val="000000"/>
        </w:rPr>
      </w:pPr>
      <w:r>
        <w:rPr>
          <w:b/>
          <w:bCs/>
        </w:rPr>
        <w:t>因公出国（境）费</w:t>
      </w:r>
      <w:r>
        <w:t>。支出预算</w:t>
      </w:r>
      <w:r>
        <w:rPr>
          <w:rFonts w:hint="eastAsia" w:ascii="仿宋" w:hAnsi="仿宋" w:eastAsia="仿宋"/>
        </w:rPr>
        <w:t>0</w:t>
      </w:r>
      <w:r>
        <w:t>万元，</w:t>
      </w:r>
      <w:r>
        <w:rPr>
          <w:rFonts w:hint="eastAsia"/>
        </w:rPr>
        <w:t>与2023年预算持平</w:t>
      </w:r>
      <w:r>
        <w:t>。经费使用严格执行《黄山市市直党政机关因公临时出国经费管理办法》相关规定。需要说明的是，</w:t>
      </w:r>
      <w:r>
        <w:rPr>
          <w:color w:val="000000"/>
        </w:rPr>
        <w:t xml:space="preserve">该项经费根据外办批准的因公临时出国（境）计划，年初预算统一安排到市外办，不安排到部门，由市外办统筹安排并由市外办集中公开。 </w:t>
      </w:r>
    </w:p>
    <w:p w14:paraId="13502FAA">
      <w:pPr>
        <w:pStyle w:val="17"/>
        <w:ind w:firstLine="643"/>
      </w:pPr>
      <w:r>
        <w:rPr>
          <w:b/>
          <w:bCs/>
        </w:rPr>
        <w:t>公务用车购置及运行费。</w:t>
      </w:r>
      <w:r>
        <w:t>支出预算</w:t>
      </w:r>
      <w:r>
        <w:rPr>
          <w:rFonts w:hint="eastAsia"/>
        </w:rPr>
        <w:t>0</w:t>
      </w:r>
      <w:r>
        <w:t>万元，</w:t>
      </w:r>
      <w:r>
        <w:rPr>
          <w:rFonts w:hint="eastAsia"/>
        </w:rPr>
        <w:t>与2023年预算持平</w:t>
      </w:r>
      <w:r>
        <w:t>。其中：公务用车运行费</w:t>
      </w:r>
      <w:r>
        <w:rPr>
          <w:rFonts w:hint="eastAsia"/>
        </w:rPr>
        <w:t>0</w:t>
      </w:r>
      <w:r>
        <w:t>万元，</w:t>
      </w:r>
      <w:r>
        <w:rPr>
          <w:rFonts w:hint="eastAsia"/>
        </w:rPr>
        <w:t>与2023年预算持平</w:t>
      </w:r>
      <w:r>
        <w:t>；公务用车购置费</w:t>
      </w:r>
      <w:r>
        <w:rPr>
          <w:rFonts w:hint="eastAsia"/>
        </w:rPr>
        <w:t>0</w:t>
      </w:r>
      <w:r>
        <w:t>万元，</w:t>
      </w:r>
      <w:r>
        <w:rPr>
          <w:rFonts w:hint="eastAsia"/>
        </w:rPr>
        <w:t>与2023年预算持平</w:t>
      </w:r>
      <w:r>
        <w:t>。经费使用严格按照中央、省和市有关公务用车配备使用管理制度执行。</w:t>
      </w:r>
    </w:p>
    <w:p w14:paraId="2B6DC9AA">
      <w:pPr>
        <w:pStyle w:val="17"/>
        <w:ind w:firstLine="643"/>
      </w:pPr>
      <w:r>
        <w:rPr>
          <w:b/>
          <w:bCs/>
        </w:rPr>
        <w:t>公务接待费支出</w:t>
      </w:r>
      <w:r>
        <w:rPr>
          <w:rFonts w:hint="eastAsia" w:ascii="仿宋" w:hAnsi="仿宋" w:eastAsia="仿宋"/>
        </w:rPr>
        <w:t>3.25</w:t>
      </w:r>
      <w:r>
        <w:rPr>
          <w:b/>
          <w:bCs/>
        </w:rPr>
        <w:t>万元。支出预算</w:t>
      </w:r>
      <w:r>
        <w:rPr>
          <w:rFonts w:hint="eastAsia" w:ascii="仿宋" w:hAnsi="仿宋" w:eastAsia="仿宋"/>
        </w:rPr>
        <w:t>3.25</w:t>
      </w:r>
      <w:r>
        <w:rPr>
          <w:b/>
          <w:bCs/>
        </w:rPr>
        <w:t>万元，</w:t>
      </w:r>
      <w:r>
        <w:rPr>
          <w:rFonts w:hint="eastAsia"/>
        </w:rPr>
        <w:t>与2023年预算持平，</w:t>
      </w:r>
      <w:r>
        <w:t>主要原因是两年该支出内容基本相同</w:t>
      </w:r>
      <w:r>
        <w:rPr>
          <w:rFonts w:hint="eastAsia"/>
        </w:rPr>
        <w:t>，</w:t>
      </w:r>
      <w:r>
        <w:rPr>
          <w:rFonts w:hint="eastAsia"/>
          <w:kern w:val="0"/>
        </w:rPr>
        <w:t>主要用于接待上级视察调研和检查指导、市委市政府工作部署、外市考察交流以及基层业务往来等公务活动支出。</w:t>
      </w:r>
      <w:r>
        <w:t>经费使用安排积极贯彻落实中央八项规定,严格执行《党政机关厉行节约反对浪费条例》和《黄山市市直机关公务接待费管理暂行办法》等相关规定</w:t>
      </w:r>
      <w:r>
        <w:rPr>
          <w:rFonts w:hint="eastAsia"/>
        </w:rPr>
        <w:t>。</w:t>
      </w:r>
    </w:p>
    <w:p w14:paraId="6B62B314">
      <w:pPr>
        <w:pStyle w:val="9"/>
        <w:adjustRightInd w:val="0"/>
        <w:snapToGrid w:val="0"/>
        <w:spacing w:before="0" w:beforeAutospacing="0" w:after="0" w:afterAutospacing="0" w:line="600" w:lineRule="exact"/>
        <w:ind w:firstLine="627" w:firstLineChars="196"/>
        <w:rPr>
          <w:rFonts w:ascii="黑体" w:hAnsi="黑体" w:eastAsia="黑体" w:cs="Times New Roman"/>
          <w:sz w:val="32"/>
          <w:szCs w:val="32"/>
        </w:rPr>
      </w:pPr>
      <w:r>
        <w:rPr>
          <w:rFonts w:ascii="黑体" w:hAnsi="黑体" w:eastAsia="黑体" w:cs="Times New Roman"/>
          <w:sz w:val="32"/>
          <w:szCs w:val="32"/>
        </w:rPr>
        <w:t>十三、其他重要事项情况说明</w:t>
      </w:r>
    </w:p>
    <w:p w14:paraId="090C258A">
      <w:pPr>
        <w:adjustRightInd w:val="0"/>
        <w:snapToGrid w:val="0"/>
        <w:spacing w:line="600" w:lineRule="exact"/>
        <w:ind w:firstLine="640" w:firstLineChars="200"/>
        <w:rPr>
          <w:rFonts w:eastAsia="仿宋_GB2312"/>
          <w:b/>
          <w:color w:val="FF0000"/>
          <w:sz w:val="32"/>
          <w:szCs w:val="32"/>
        </w:rPr>
      </w:pPr>
      <w:r>
        <w:rPr>
          <w:rFonts w:eastAsia="仿宋_GB2312"/>
          <w:b/>
          <w:sz w:val="32"/>
          <w:szCs w:val="32"/>
        </w:rPr>
        <w:t>（一）项目及绩效目标情况</w:t>
      </w:r>
    </w:p>
    <w:p w14:paraId="67ABC428">
      <w:pPr>
        <w:pStyle w:val="17"/>
        <w:ind w:firstLine="643"/>
        <w:rPr>
          <w:b/>
        </w:rPr>
      </w:pPr>
      <w:r>
        <w:rPr>
          <w:rFonts w:hint="eastAsia"/>
          <w:b/>
        </w:rPr>
        <w:t>1.“市委市政府相关领导组工作经费”项目。</w:t>
      </w:r>
    </w:p>
    <w:p w14:paraId="19FC6B63">
      <w:pPr>
        <w:pStyle w:val="17"/>
        <w:rPr>
          <w:bCs/>
        </w:rPr>
      </w:pPr>
      <w:r>
        <w:rPr>
          <w:rFonts w:hint="eastAsia"/>
          <w:bCs/>
        </w:rPr>
        <w:t>（</w:t>
      </w:r>
      <w:r>
        <w:rPr>
          <w:bCs/>
        </w:rPr>
        <w:t>1</w:t>
      </w:r>
      <w:r>
        <w:rPr>
          <w:rFonts w:hint="eastAsia"/>
          <w:bCs/>
        </w:rPr>
        <w:t>）项目概述。市委市政府相关领导组工作经费24万元，其中①市减轻企业负担联席会议办公室：开展企业减负调研工作，按时召开减轻企业负担</w:t>
      </w:r>
      <w:r>
        <w:rPr>
          <w:rFonts w:hint="eastAsia"/>
          <w:bCs/>
          <w:lang w:eastAsia="zh-CN"/>
        </w:rPr>
        <w:t>联席会议</w:t>
      </w:r>
      <w:r>
        <w:rPr>
          <w:rFonts w:hint="eastAsia"/>
          <w:bCs/>
        </w:rPr>
        <w:t>，组织协调各成员单位开展治乱减负专项督察，完成市企业减负办承担各项工作任务。②市新型工业化领导小组办公室：为加快推进我市新型工业化建设，按市委、市政府要求，每月召开工业经济运行调度会，协调工业经济发展的各种问题，通报和督查全市工业经济运行各项工作，开展对全市各区县的工业发展目标考核，指导年度各项目标的完成。③市民营经济领导小组办公室：开展民营经济政策宣贯、编印政策宣讲资料，实施民营经济人才、融资培训，等，组织落实政策专项督察，开展民营经济专项调研，承办民营经济表彰大会及相关活动，每季召开一次民营经济领导组</w:t>
      </w:r>
      <w:r>
        <w:rPr>
          <w:rFonts w:hint="eastAsia"/>
          <w:bCs/>
          <w:lang w:eastAsia="zh-CN"/>
        </w:rPr>
        <w:t>联席会议</w:t>
      </w:r>
      <w:r>
        <w:rPr>
          <w:rFonts w:hint="eastAsia"/>
          <w:bCs/>
        </w:rPr>
        <w:t>，承担领导组日常各项工作。④市企业改革领导组：按照国家规定，对改制企业资产进行清产核资，资产评估，客观、公正、合理原则进行，依法公开挂牌进行转让。制定审核市直改制企业改革方案，市直改制企业职代会或职工大会通过后，依法进行审批实施。解决市直改制企业善后问题。⑤5G通信网络建设协调领导小组：统筹推进5G建设和应用相关工作，协调解决工作推进中的重大问题，确保上下联动，取得实效。</w:t>
      </w:r>
    </w:p>
    <w:p w14:paraId="314EDDFC">
      <w:pPr>
        <w:pStyle w:val="17"/>
        <w:rPr>
          <w:bCs/>
        </w:rPr>
      </w:pPr>
      <w:r>
        <w:rPr>
          <w:rFonts w:hint="eastAsia"/>
          <w:bCs/>
        </w:rPr>
        <w:t>（</w:t>
      </w:r>
      <w:r>
        <w:rPr>
          <w:bCs/>
        </w:rPr>
        <w:t>2</w:t>
      </w:r>
      <w:r>
        <w:rPr>
          <w:rFonts w:hint="eastAsia"/>
          <w:bCs/>
        </w:rPr>
        <w:t>）立项依据。</w:t>
      </w:r>
      <w:r>
        <w:rPr>
          <w:rFonts w:hint="eastAsia" w:ascii="仿宋_GB2312" w:hAnsi="仿宋_GB2312" w:cs="仿宋_GB2312"/>
        </w:rPr>
        <w:t>根据《黄山市委办公厅 黄山市人民政府办公厅关于成立市新型工业化领导小组的通知》《关于调整市企业改革领导组组成人员的通知》《关于调整市减轻企业负担联席会议成员的通知》《关于调整黄山市民营经济领导小组组成人员的通知》《关于调整黄山市亩均效益评价工作领导小组成员的通知》《黄山市软件产业园建设工作领导小组》等相关文件。</w:t>
      </w:r>
    </w:p>
    <w:p w14:paraId="029E1822">
      <w:pPr>
        <w:pStyle w:val="17"/>
        <w:rPr>
          <w:rFonts w:eastAsia="仿宋"/>
          <w:bCs/>
        </w:rPr>
      </w:pPr>
      <w:r>
        <w:rPr>
          <w:rFonts w:hint="eastAsia"/>
          <w:bCs/>
        </w:rPr>
        <w:t>（</w:t>
      </w:r>
      <w:r>
        <w:rPr>
          <w:bCs/>
        </w:rPr>
        <w:t>3</w:t>
      </w:r>
      <w:r>
        <w:rPr>
          <w:rFonts w:hint="eastAsia"/>
          <w:bCs/>
        </w:rPr>
        <w:t>）实施主体。</w:t>
      </w:r>
      <w:r>
        <w:rPr>
          <w:rFonts w:hint="eastAsia" w:eastAsia="仿宋"/>
        </w:rPr>
        <w:t>黄山市经济和信息化局。</w:t>
      </w:r>
    </w:p>
    <w:p w14:paraId="4549AFCC">
      <w:pPr>
        <w:pStyle w:val="17"/>
        <w:rPr>
          <w:rFonts w:eastAsia="仿宋"/>
        </w:rPr>
      </w:pPr>
      <w:r>
        <w:rPr>
          <w:rFonts w:hint="eastAsia"/>
          <w:bCs/>
        </w:rPr>
        <w:t>（</w:t>
      </w:r>
      <w:r>
        <w:rPr>
          <w:bCs/>
        </w:rPr>
        <w:t>4</w:t>
      </w:r>
      <w:r>
        <w:rPr>
          <w:rFonts w:hint="eastAsia"/>
          <w:bCs/>
        </w:rPr>
        <w:t>）起止时间。</w:t>
      </w:r>
      <w:r>
        <w:rPr>
          <w:rFonts w:hint="eastAsia" w:eastAsia="仿宋"/>
        </w:rPr>
        <w:t>2024年1月至2024年12月。</w:t>
      </w:r>
    </w:p>
    <w:p w14:paraId="10E8DB91">
      <w:pPr>
        <w:pStyle w:val="17"/>
        <w:rPr>
          <w:bCs/>
        </w:rPr>
      </w:pPr>
      <w:r>
        <w:rPr>
          <w:rFonts w:hint="eastAsia"/>
          <w:bCs/>
        </w:rPr>
        <w:t>（</w:t>
      </w:r>
      <w:r>
        <w:rPr>
          <w:bCs/>
        </w:rPr>
        <w:t>5</w:t>
      </w:r>
      <w:r>
        <w:rPr>
          <w:rFonts w:hint="eastAsia"/>
          <w:bCs/>
        </w:rPr>
        <w:t>）项目内容。</w:t>
      </w:r>
      <w:r>
        <w:rPr>
          <w:rFonts w:hint="eastAsia" w:eastAsia="仿宋"/>
        </w:rPr>
        <w:t>黄山市经济和信息化局</w:t>
      </w:r>
      <w:r>
        <w:rPr>
          <w:rFonts w:hint="eastAsia" w:ascii="仿宋_GB2312" w:hAnsi="仿宋_GB2312" w:cs="仿宋_GB2312"/>
        </w:rPr>
        <w:t>牵头承担市委市政府7项议事机构相关工作，定期召开领导小组会议，协调解决工作中的重大事项、重要问题，确保各项任务落地落实。</w:t>
      </w:r>
    </w:p>
    <w:p w14:paraId="557414AF">
      <w:pPr>
        <w:pStyle w:val="17"/>
        <w:rPr>
          <w:bCs/>
        </w:rPr>
      </w:pPr>
      <w:r>
        <w:rPr>
          <w:rFonts w:hint="eastAsia"/>
          <w:bCs/>
        </w:rPr>
        <w:t>（</w:t>
      </w:r>
      <w:r>
        <w:rPr>
          <w:bCs/>
        </w:rPr>
        <w:t>6</w:t>
      </w:r>
      <w:r>
        <w:rPr>
          <w:rFonts w:hint="eastAsia"/>
          <w:bCs/>
        </w:rPr>
        <w:t>）年度预算安排。24万元。</w:t>
      </w:r>
    </w:p>
    <w:p w14:paraId="42C3FB51">
      <w:pPr>
        <w:pStyle w:val="17"/>
        <w:rPr>
          <w:bCs/>
        </w:rPr>
      </w:pPr>
      <w:r>
        <w:rPr>
          <w:rFonts w:hint="eastAsia"/>
          <w:bCs/>
        </w:rPr>
        <w:t>（</w:t>
      </w:r>
      <w:r>
        <w:rPr>
          <w:bCs/>
        </w:rPr>
        <w:t>7</w:t>
      </w:r>
      <w:r>
        <w:rPr>
          <w:rFonts w:hint="eastAsia"/>
          <w:bCs/>
        </w:rPr>
        <w:t>）绩效目标。 ①市减轻企业负担联席会议办公室经费：每年组织召开减负联席工作会议2次；开展企业减负工作专项调研2次；开展减负专项督察工作2次；参加和组织开展企业减负相关活动若干次。②市新型工业化领导小组办公室经费：确保完成2024年度市委、市政府下达的新型工业化经济发展的各项目标任务，召开全市工业会议1次。③市民营经济领导小组办公室经费项目：每年开展政策宣贯2次、进行民营经济培训活动56次，民营企业融资培训、管理培训5次，开展落实民营经济政策督察2次，各类调研6次，承办领导组</w:t>
      </w:r>
      <w:r>
        <w:rPr>
          <w:rFonts w:hint="eastAsia"/>
          <w:bCs/>
          <w:lang w:eastAsia="zh-CN"/>
        </w:rPr>
        <w:t>联席会议</w:t>
      </w:r>
      <w:r>
        <w:rPr>
          <w:rFonts w:hint="eastAsia"/>
          <w:bCs/>
        </w:rPr>
        <w:t>4次，承办民营经济表彰大会1次。④市企业改革领导组工作经费项目：基本完成全市国有、集体企业改革工作。⑤5G通信网络建设协调领导小组工作经费：开展疑难站点专项督察2次，协调解决工作推进中的重大问题。</w:t>
      </w:r>
    </w:p>
    <w:p w14:paraId="1A81D1E0">
      <w:pPr>
        <w:pStyle w:val="17"/>
        <w:rPr>
          <w:bCs/>
        </w:rPr>
      </w:pPr>
    </w:p>
    <w:p w14:paraId="72A9FA6A">
      <w:pPr>
        <w:pStyle w:val="17"/>
        <w:rPr>
          <w:bCs/>
        </w:rPr>
      </w:pPr>
    </w:p>
    <w:p w14:paraId="33A6FD88">
      <w:pPr>
        <w:pStyle w:val="17"/>
        <w:rPr>
          <w:bCs/>
        </w:rPr>
      </w:pPr>
    </w:p>
    <w:p w14:paraId="4CF48D3E">
      <w:pPr>
        <w:pStyle w:val="17"/>
        <w:rPr>
          <w:bCs/>
        </w:rPr>
      </w:pPr>
    </w:p>
    <w:p w14:paraId="6757AE46">
      <w:pPr>
        <w:pStyle w:val="17"/>
        <w:rPr>
          <w:bCs/>
        </w:rPr>
      </w:pPr>
    </w:p>
    <w:p w14:paraId="0BB0F1E3">
      <w:pPr>
        <w:pStyle w:val="17"/>
        <w:rPr>
          <w:bCs/>
        </w:rPr>
      </w:pPr>
    </w:p>
    <w:tbl>
      <w:tblPr>
        <w:tblStyle w:val="10"/>
        <w:tblW w:w="9420" w:type="dxa"/>
        <w:tblInd w:w="93" w:type="dxa"/>
        <w:tblLayout w:type="autofit"/>
        <w:tblCellMar>
          <w:top w:w="0" w:type="dxa"/>
          <w:left w:w="108" w:type="dxa"/>
          <w:bottom w:w="0" w:type="dxa"/>
          <w:right w:w="108" w:type="dxa"/>
        </w:tblCellMar>
      </w:tblPr>
      <w:tblGrid>
        <w:gridCol w:w="461"/>
        <w:gridCol w:w="673"/>
        <w:gridCol w:w="378"/>
        <w:gridCol w:w="987"/>
        <w:gridCol w:w="2499"/>
        <w:gridCol w:w="1936"/>
        <w:gridCol w:w="2486"/>
      </w:tblGrid>
      <w:tr w14:paraId="4FA37D6A">
        <w:tblPrEx>
          <w:tblCellMar>
            <w:top w:w="0" w:type="dxa"/>
            <w:left w:w="108" w:type="dxa"/>
            <w:bottom w:w="0" w:type="dxa"/>
            <w:right w:w="108" w:type="dxa"/>
          </w:tblCellMar>
        </w:tblPrEx>
        <w:trPr>
          <w:trHeight w:val="90" w:hRule="atLeast"/>
        </w:trPr>
        <w:tc>
          <w:tcPr>
            <w:tcW w:w="9420" w:type="dxa"/>
            <w:gridSpan w:val="7"/>
            <w:tcBorders>
              <w:top w:val="nil"/>
              <w:left w:val="nil"/>
              <w:bottom w:val="nil"/>
              <w:right w:val="nil"/>
            </w:tcBorders>
            <w:noWrap/>
            <w:vAlign w:val="center"/>
          </w:tcPr>
          <w:p w14:paraId="12A05BFE">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项目支出绩效目标表</w:t>
            </w:r>
          </w:p>
        </w:tc>
      </w:tr>
      <w:tr w14:paraId="573C4821">
        <w:tblPrEx>
          <w:tblCellMar>
            <w:top w:w="0" w:type="dxa"/>
            <w:left w:w="108" w:type="dxa"/>
            <w:bottom w:w="0" w:type="dxa"/>
            <w:right w:w="108" w:type="dxa"/>
          </w:tblCellMar>
        </w:tblPrEx>
        <w:trPr>
          <w:trHeight w:val="309" w:hRule="atLeast"/>
        </w:trPr>
        <w:tc>
          <w:tcPr>
            <w:tcW w:w="9420" w:type="dxa"/>
            <w:gridSpan w:val="7"/>
            <w:tcBorders>
              <w:top w:val="nil"/>
              <w:left w:val="nil"/>
              <w:bottom w:val="nil"/>
              <w:right w:val="nil"/>
            </w:tcBorders>
            <w:noWrap/>
            <w:vAlign w:val="center"/>
          </w:tcPr>
          <w:p w14:paraId="074C56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（2024年度）                                </w:t>
            </w:r>
          </w:p>
        </w:tc>
      </w:tr>
      <w:tr w14:paraId="7DB6F51F">
        <w:tblPrEx>
          <w:tblCellMar>
            <w:top w:w="0" w:type="dxa"/>
            <w:left w:w="108" w:type="dxa"/>
            <w:bottom w:w="0" w:type="dxa"/>
            <w:right w:w="108" w:type="dxa"/>
          </w:tblCellMar>
        </w:tblPrEx>
        <w:trPr>
          <w:trHeight w:val="436" w:hRule="atLeast"/>
        </w:trPr>
        <w:tc>
          <w:tcPr>
            <w:tcW w:w="1512" w:type="dxa"/>
            <w:gridSpan w:val="3"/>
            <w:tcBorders>
              <w:top w:val="nil"/>
              <w:left w:val="nil"/>
              <w:bottom w:val="nil"/>
              <w:right w:val="nil"/>
            </w:tcBorders>
            <w:noWrap/>
            <w:vAlign w:val="center"/>
          </w:tcPr>
          <w:p w14:paraId="7F23C76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项目责任人：</w:t>
            </w:r>
          </w:p>
        </w:tc>
        <w:tc>
          <w:tcPr>
            <w:tcW w:w="3486" w:type="dxa"/>
            <w:gridSpan w:val="2"/>
            <w:tcBorders>
              <w:top w:val="nil"/>
              <w:left w:val="nil"/>
              <w:bottom w:val="nil"/>
              <w:right w:val="nil"/>
            </w:tcBorders>
            <w:noWrap/>
            <w:vAlign w:val="center"/>
          </w:tcPr>
          <w:p w14:paraId="047C4373">
            <w:pPr>
              <w:jc w:val="center"/>
              <w:rPr>
                <w:rFonts w:ascii="宋体" w:hAnsi="宋体" w:cs="宋体"/>
                <w:color w:val="000000"/>
                <w:sz w:val="18"/>
                <w:szCs w:val="18"/>
              </w:rPr>
            </w:pPr>
          </w:p>
        </w:tc>
        <w:tc>
          <w:tcPr>
            <w:tcW w:w="1936" w:type="dxa"/>
            <w:tcBorders>
              <w:top w:val="nil"/>
              <w:left w:val="nil"/>
              <w:bottom w:val="nil"/>
              <w:right w:val="nil"/>
            </w:tcBorders>
            <w:noWrap/>
            <w:vAlign w:val="center"/>
          </w:tcPr>
          <w:p w14:paraId="35895F1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单位（盖章）：</w:t>
            </w:r>
          </w:p>
        </w:tc>
        <w:tc>
          <w:tcPr>
            <w:tcW w:w="2486" w:type="dxa"/>
            <w:tcBorders>
              <w:top w:val="nil"/>
              <w:left w:val="nil"/>
              <w:bottom w:val="nil"/>
              <w:right w:val="nil"/>
            </w:tcBorders>
            <w:noWrap/>
            <w:vAlign w:val="center"/>
          </w:tcPr>
          <w:p w14:paraId="7239D397">
            <w:pPr>
              <w:jc w:val="center"/>
              <w:rPr>
                <w:rFonts w:ascii="宋体" w:hAnsi="宋体" w:cs="宋体"/>
                <w:color w:val="000000"/>
                <w:sz w:val="18"/>
                <w:szCs w:val="18"/>
              </w:rPr>
            </w:pPr>
          </w:p>
        </w:tc>
      </w:tr>
      <w:tr w14:paraId="30B2F0A1">
        <w:tblPrEx>
          <w:tblCellMar>
            <w:top w:w="0" w:type="dxa"/>
            <w:left w:w="108" w:type="dxa"/>
            <w:bottom w:w="0" w:type="dxa"/>
            <w:right w:w="108" w:type="dxa"/>
          </w:tblCellMar>
        </w:tblPrEx>
        <w:trPr>
          <w:trHeight w:val="446" w:hRule="atLeast"/>
        </w:trPr>
        <w:tc>
          <w:tcPr>
            <w:tcW w:w="1512" w:type="dxa"/>
            <w:gridSpan w:val="3"/>
            <w:tcBorders>
              <w:top w:val="single" w:color="000000" w:sz="4" w:space="0"/>
              <w:left w:val="single" w:color="000000" w:sz="4" w:space="0"/>
              <w:bottom w:val="single" w:color="000000" w:sz="4" w:space="0"/>
              <w:right w:val="single" w:color="000000" w:sz="4" w:space="0"/>
            </w:tcBorders>
            <w:noWrap/>
            <w:vAlign w:val="center"/>
          </w:tcPr>
          <w:p w14:paraId="703575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7908" w:type="dxa"/>
            <w:gridSpan w:val="4"/>
            <w:tcBorders>
              <w:top w:val="single" w:color="000000" w:sz="4" w:space="0"/>
              <w:left w:val="single" w:color="000000" w:sz="4" w:space="0"/>
              <w:bottom w:val="single" w:color="000000" w:sz="4" w:space="0"/>
              <w:right w:val="single" w:color="000000" w:sz="4" w:space="0"/>
            </w:tcBorders>
            <w:noWrap/>
            <w:vAlign w:val="center"/>
          </w:tcPr>
          <w:p w14:paraId="2A4192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市委市政府相关领导组工作经费</w:t>
            </w:r>
          </w:p>
        </w:tc>
      </w:tr>
      <w:tr w14:paraId="56AAFD10">
        <w:tblPrEx>
          <w:tblCellMar>
            <w:top w:w="0" w:type="dxa"/>
            <w:left w:w="108" w:type="dxa"/>
            <w:bottom w:w="0" w:type="dxa"/>
            <w:right w:w="108" w:type="dxa"/>
          </w:tblCellMar>
        </w:tblPrEx>
        <w:trPr>
          <w:trHeight w:val="446" w:hRule="atLeast"/>
        </w:trPr>
        <w:tc>
          <w:tcPr>
            <w:tcW w:w="1512" w:type="dxa"/>
            <w:gridSpan w:val="3"/>
            <w:tcBorders>
              <w:top w:val="nil"/>
              <w:left w:val="single" w:color="000000" w:sz="4" w:space="0"/>
              <w:bottom w:val="single" w:color="000000" w:sz="4" w:space="0"/>
              <w:right w:val="nil"/>
            </w:tcBorders>
            <w:noWrap/>
            <w:vAlign w:val="center"/>
          </w:tcPr>
          <w:p w14:paraId="5892D5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主管部门及代码</w:t>
            </w:r>
          </w:p>
        </w:tc>
        <w:tc>
          <w:tcPr>
            <w:tcW w:w="3486" w:type="dxa"/>
            <w:gridSpan w:val="2"/>
            <w:tcBorders>
              <w:top w:val="nil"/>
              <w:left w:val="single" w:color="000000" w:sz="4" w:space="0"/>
              <w:bottom w:val="single" w:color="000000" w:sz="4" w:space="0"/>
              <w:right w:val="nil"/>
            </w:tcBorders>
            <w:noWrap/>
            <w:vAlign w:val="center"/>
          </w:tcPr>
          <w:p w14:paraId="6E6544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[077]黄山市经济和信息化局</w:t>
            </w:r>
          </w:p>
        </w:tc>
        <w:tc>
          <w:tcPr>
            <w:tcW w:w="1936" w:type="dxa"/>
            <w:tcBorders>
              <w:top w:val="nil"/>
              <w:left w:val="single" w:color="000000" w:sz="4" w:space="0"/>
              <w:bottom w:val="single" w:color="000000" w:sz="4" w:space="0"/>
              <w:right w:val="nil"/>
            </w:tcBorders>
            <w:noWrap/>
            <w:vAlign w:val="center"/>
          </w:tcPr>
          <w:p w14:paraId="364AAE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实施单位</w:t>
            </w:r>
          </w:p>
        </w:tc>
        <w:tc>
          <w:tcPr>
            <w:tcW w:w="2486" w:type="dxa"/>
            <w:tcBorders>
              <w:top w:val="nil"/>
              <w:left w:val="single" w:color="000000" w:sz="4" w:space="0"/>
              <w:bottom w:val="single" w:color="000000" w:sz="4" w:space="0"/>
              <w:right w:val="single" w:color="000000" w:sz="4" w:space="0"/>
            </w:tcBorders>
            <w:noWrap/>
            <w:vAlign w:val="center"/>
          </w:tcPr>
          <w:p w14:paraId="08D469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黄山市经济和信息化局</w:t>
            </w:r>
          </w:p>
        </w:tc>
      </w:tr>
      <w:tr w14:paraId="7A71F4D9">
        <w:tblPrEx>
          <w:tblCellMar>
            <w:top w:w="0" w:type="dxa"/>
            <w:left w:w="108" w:type="dxa"/>
            <w:bottom w:w="0" w:type="dxa"/>
            <w:right w:w="108" w:type="dxa"/>
          </w:tblCellMar>
        </w:tblPrEx>
        <w:trPr>
          <w:trHeight w:val="446" w:hRule="atLeast"/>
        </w:trPr>
        <w:tc>
          <w:tcPr>
            <w:tcW w:w="1512" w:type="dxa"/>
            <w:gridSpan w:val="3"/>
            <w:tcBorders>
              <w:top w:val="single" w:color="000000" w:sz="4" w:space="0"/>
              <w:left w:val="single" w:color="000000" w:sz="4" w:space="0"/>
              <w:bottom w:val="single" w:color="000000" w:sz="4" w:space="0"/>
              <w:right w:val="nil"/>
            </w:tcBorders>
            <w:noWrap/>
            <w:vAlign w:val="center"/>
          </w:tcPr>
          <w:p w14:paraId="0FA551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项目来源</w:t>
            </w:r>
          </w:p>
        </w:tc>
        <w:tc>
          <w:tcPr>
            <w:tcW w:w="3486" w:type="dxa"/>
            <w:gridSpan w:val="2"/>
            <w:tcBorders>
              <w:top w:val="single" w:color="000000" w:sz="4" w:space="0"/>
              <w:left w:val="single" w:color="000000" w:sz="4" w:space="0"/>
              <w:bottom w:val="single" w:color="000000" w:sz="4" w:space="0"/>
              <w:right w:val="nil"/>
            </w:tcBorders>
            <w:noWrap/>
            <w:vAlign w:val="center"/>
          </w:tcPr>
          <w:p w14:paraId="6EFB58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本级申报项目</w:t>
            </w:r>
          </w:p>
        </w:tc>
        <w:tc>
          <w:tcPr>
            <w:tcW w:w="1936" w:type="dxa"/>
            <w:tcBorders>
              <w:top w:val="single" w:color="000000" w:sz="4" w:space="0"/>
              <w:left w:val="single" w:color="000000" w:sz="4" w:space="0"/>
              <w:bottom w:val="single" w:color="000000" w:sz="4" w:space="0"/>
              <w:right w:val="nil"/>
            </w:tcBorders>
            <w:noWrap/>
            <w:vAlign w:val="center"/>
          </w:tcPr>
          <w:p w14:paraId="6D7F88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项目期</w:t>
            </w:r>
          </w:p>
        </w:tc>
        <w:tc>
          <w:tcPr>
            <w:tcW w:w="2486" w:type="dxa"/>
            <w:tcBorders>
              <w:top w:val="single" w:color="000000" w:sz="4" w:space="0"/>
              <w:left w:val="single" w:color="000000" w:sz="4" w:space="0"/>
              <w:bottom w:val="single" w:color="000000" w:sz="4" w:space="0"/>
              <w:right w:val="single" w:color="000000" w:sz="4" w:space="0"/>
            </w:tcBorders>
            <w:noWrap/>
            <w:vAlign w:val="center"/>
          </w:tcPr>
          <w:p w14:paraId="1844A6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1年</w:t>
            </w:r>
          </w:p>
        </w:tc>
      </w:tr>
      <w:tr w14:paraId="069F8F21">
        <w:tblPrEx>
          <w:tblCellMar>
            <w:top w:w="0" w:type="dxa"/>
            <w:left w:w="108" w:type="dxa"/>
            <w:bottom w:w="0" w:type="dxa"/>
            <w:right w:w="108" w:type="dxa"/>
          </w:tblCellMar>
        </w:tblPrEx>
        <w:trPr>
          <w:trHeight w:val="446" w:hRule="atLeast"/>
        </w:trPr>
        <w:tc>
          <w:tcPr>
            <w:tcW w:w="1512" w:type="dxa"/>
            <w:gridSpan w:val="3"/>
            <w:vMerge w:val="restart"/>
            <w:tcBorders>
              <w:top w:val="single" w:color="000000" w:sz="4" w:space="0"/>
              <w:left w:val="single" w:color="000000" w:sz="4" w:space="0"/>
              <w:bottom w:val="single" w:color="000000" w:sz="4" w:space="0"/>
              <w:right w:val="nil"/>
            </w:tcBorders>
            <w:noWrap/>
            <w:vAlign w:val="center"/>
          </w:tcPr>
          <w:p w14:paraId="17C5C0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项目资金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（万元）</w:t>
            </w:r>
          </w:p>
        </w:tc>
        <w:tc>
          <w:tcPr>
            <w:tcW w:w="3486" w:type="dxa"/>
            <w:gridSpan w:val="2"/>
            <w:tcBorders>
              <w:top w:val="single" w:color="000000" w:sz="4" w:space="0"/>
              <w:left w:val="single" w:color="000000" w:sz="4" w:space="0"/>
              <w:bottom w:val="single" w:color="000000" w:sz="4" w:space="0"/>
              <w:right w:val="nil"/>
            </w:tcBorders>
            <w:noWrap/>
            <w:vAlign w:val="center"/>
          </w:tcPr>
          <w:p w14:paraId="2D02031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年度资金总额：</w:t>
            </w:r>
          </w:p>
        </w:tc>
        <w:tc>
          <w:tcPr>
            <w:tcW w:w="4422" w:type="dxa"/>
            <w:gridSpan w:val="2"/>
            <w:tcBorders>
              <w:top w:val="single" w:color="000000" w:sz="4" w:space="0"/>
              <w:left w:val="single" w:color="000000" w:sz="4" w:space="0"/>
              <w:bottom w:val="single" w:color="000000" w:sz="4" w:space="0"/>
              <w:right w:val="single" w:color="000000" w:sz="4" w:space="0"/>
            </w:tcBorders>
            <w:noWrap/>
            <w:vAlign w:val="center"/>
          </w:tcPr>
          <w:p w14:paraId="56F1A5D3">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24.00 </w:t>
            </w:r>
          </w:p>
        </w:tc>
      </w:tr>
      <w:tr w14:paraId="608806A0">
        <w:tblPrEx>
          <w:tblCellMar>
            <w:top w:w="0" w:type="dxa"/>
            <w:left w:w="108" w:type="dxa"/>
            <w:bottom w:w="0" w:type="dxa"/>
            <w:right w:w="108" w:type="dxa"/>
          </w:tblCellMar>
        </w:tblPrEx>
        <w:trPr>
          <w:trHeight w:val="446" w:hRule="atLeast"/>
        </w:trPr>
        <w:tc>
          <w:tcPr>
            <w:tcW w:w="1512" w:type="dxa"/>
            <w:gridSpan w:val="3"/>
            <w:vMerge w:val="continue"/>
            <w:tcBorders>
              <w:top w:val="single" w:color="000000" w:sz="4" w:space="0"/>
              <w:left w:val="single" w:color="000000" w:sz="4" w:space="0"/>
              <w:bottom w:val="single" w:color="000000" w:sz="4" w:space="0"/>
              <w:right w:val="nil"/>
            </w:tcBorders>
            <w:noWrap/>
            <w:vAlign w:val="center"/>
          </w:tcPr>
          <w:p w14:paraId="7F0D6F75">
            <w:pPr>
              <w:jc w:val="center"/>
              <w:rPr>
                <w:rFonts w:ascii="宋体" w:hAnsi="宋体" w:cs="宋体"/>
                <w:color w:val="000000"/>
                <w:sz w:val="20"/>
                <w:szCs w:val="20"/>
              </w:rPr>
            </w:pPr>
          </w:p>
        </w:tc>
        <w:tc>
          <w:tcPr>
            <w:tcW w:w="3486" w:type="dxa"/>
            <w:gridSpan w:val="2"/>
            <w:tcBorders>
              <w:top w:val="single" w:color="000000" w:sz="4" w:space="0"/>
              <w:left w:val="single" w:color="000000" w:sz="4" w:space="0"/>
              <w:bottom w:val="single" w:color="000000" w:sz="4" w:space="0"/>
              <w:right w:val="nil"/>
            </w:tcBorders>
            <w:noWrap/>
            <w:vAlign w:val="center"/>
          </w:tcPr>
          <w:p w14:paraId="475076E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其中：财政拨款</w:t>
            </w:r>
          </w:p>
        </w:tc>
        <w:tc>
          <w:tcPr>
            <w:tcW w:w="4422" w:type="dxa"/>
            <w:gridSpan w:val="2"/>
            <w:tcBorders>
              <w:top w:val="single" w:color="000000" w:sz="4" w:space="0"/>
              <w:left w:val="single" w:color="000000" w:sz="4" w:space="0"/>
              <w:bottom w:val="single" w:color="000000" w:sz="4" w:space="0"/>
              <w:right w:val="single" w:color="000000" w:sz="4" w:space="0"/>
            </w:tcBorders>
            <w:noWrap/>
            <w:vAlign w:val="center"/>
          </w:tcPr>
          <w:p w14:paraId="15EFDBF5">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24.00 </w:t>
            </w:r>
          </w:p>
        </w:tc>
      </w:tr>
      <w:tr w14:paraId="30976BE7">
        <w:tblPrEx>
          <w:tblCellMar>
            <w:top w:w="0" w:type="dxa"/>
            <w:left w:w="108" w:type="dxa"/>
            <w:bottom w:w="0" w:type="dxa"/>
            <w:right w:w="108" w:type="dxa"/>
          </w:tblCellMar>
        </w:tblPrEx>
        <w:trPr>
          <w:trHeight w:val="446" w:hRule="atLeast"/>
        </w:trPr>
        <w:tc>
          <w:tcPr>
            <w:tcW w:w="1512" w:type="dxa"/>
            <w:gridSpan w:val="3"/>
            <w:vMerge w:val="continue"/>
            <w:tcBorders>
              <w:top w:val="single" w:color="000000" w:sz="4" w:space="0"/>
              <w:left w:val="single" w:color="000000" w:sz="4" w:space="0"/>
              <w:bottom w:val="single" w:color="000000" w:sz="4" w:space="0"/>
              <w:right w:val="nil"/>
            </w:tcBorders>
            <w:noWrap/>
            <w:vAlign w:val="center"/>
          </w:tcPr>
          <w:p w14:paraId="6B64E741">
            <w:pPr>
              <w:jc w:val="center"/>
              <w:rPr>
                <w:rFonts w:ascii="宋体" w:hAnsi="宋体" w:cs="宋体"/>
                <w:color w:val="000000"/>
                <w:sz w:val="20"/>
                <w:szCs w:val="20"/>
              </w:rPr>
            </w:pPr>
          </w:p>
        </w:tc>
        <w:tc>
          <w:tcPr>
            <w:tcW w:w="3486" w:type="dxa"/>
            <w:gridSpan w:val="2"/>
            <w:tcBorders>
              <w:top w:val="single" w:color="000000" w:sz="4" w:space="0"/>
              <w:left w:val="single" w:color="000000" w:sz="4" w:space="0"/>
              <w:bottom w:val="single" w:color="000000" w:sz="4" w:space="0"/>
              <w:right w:val="nil"/>
            </w:tcBorders>
            <w:noWrap/>
            <w:vAlign w:val="center"/>
          </w:tcPr>
          <w:p w14:paraId="7E56BF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其他资金</w:t>
            </w:r>
          </w:p>
        </w:tc>
        <w:tc>
          <w:tcPr>
            <w:tcW w:w="4422" w:type="dxa"/>
            <w:gridSpan w:val="2"/>
            <w:tcBorders>
              <w:top w:val="single" w:color="000000" w:sz="4" w:space="0"/>
              <w:left w:val="single" w:color="000000" w:sz="4" w:space="0"/>
              <w:bottom w:val="single" w:color="000000" w:sz="4" w:space="0"/>
              <w:right w:val="single" w:color="000000" w:sz="4" w:space="0"/>
            </w:tcBorders>
            <w:noWrap/>
            <w:vAlign w:val="center"/>
          </w:tcPr>
          <w:p w14:paraId="5D60F6CC">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0.00 </w:t>
            </w:r>
          </w:p>
        </w:tc>
      </w:tr>
      <w:tr w14:paraId="13E5411C">
        <w:tblPrEx>
          <w:tblCellMar>
            <w:top w:w="0" w:type="dxa"/>
            <w:left w:w="108" w:type="dxa"/>
            <w:bottom w:w="0" w:type="dxa"/>
            <w:right w:w="108" w:type="dxa"/>
          </w:tblCellMar>
        </w:tblPrEx>
        <w:trPr>
          <w:trHeight w:val="1861" w:hRule="atLeast"/>
        </w:trPr>
        <w:tc>
          <w:tcPr>
            <w:tcW w:w="461" w:type="dxa"/>
            <w:tcBorders>
              <w:top w:val="single" w:color="000000" w:sz="4" w:space="0"/>
              <w:left w:val="single" w:color="000000" w:sz="4" w:space="0"/>
              <w:bottom w:val="single" w:color="000000" w:sz="4" w:space="0"/>
              <w:right w:val="nil"/>
            </w:tcBorders>
            <w:noWrap/>
            <w:vAlign w:val="center"/>
          </w:tcPr>
          <w:p w14:paraId="039040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目标</w:t>
            </w:r>
          </w:p>
        </w:tc>
        <w:tc>
          <w:tcPr>
            <w:tcW w:w="8959" w:type="dxa"/>
            <w:gridSpan w:val="6"/>
            <w:tcBorders>
              <w:top w:val="single" w:color="000000" w:sz="4" w:space="0"/>
              <w:left w:val="single" w:color="000000" w:sz="4" w:space="0"/>
              <w:bottom w:val="single" w:color="000000" w:sz="4" w:space="0"/>
              <w:right w:val="single" w:color="000000" w:sz="4" w:space="0"/>
            </w:tcBorders>
            <w:noWrap/>
            <w:vAlign w:val="center"/>
          </w:tcPr>
          <w:p w14:paraId="5475D2D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①市减轻企业负担联席会议办公室经费：每年组织召开减负联席工作会议2次；开展企业减负工作专项调研2次；开展减负专项督察工作2次；参加和组织开展企业减负相关活动若干次。②市新型工业化领导小组办公室经费：确保完成2024年度市委、市政府下达的新型工业化经济发展的各项目标任务，召开全市工业会议1次。③市民营经济领导小组办公室经费项目：每年开展政策宣贯2次、进行民营经济培训活动56次，民营企业融资培训、管理培训5次，开展落实民营经济政策督察2次，各类调研6次，承办领导组</w:t>
            </w:r>
            <w:r>
              <w:rPr>
                <w:rFonts w:hint="eastAsia" w:ascii="宋体" w:hAnsi="宋体" w:cs="宋体"/>
                <w:color w:val="000000"/>
                <w:kern w:val="0"/>
                <w:sz w:val="18"/>
                <w:szCs w:val="18"/>
                <w:lang w:eastAsia="zh-CN"/>
              </w:rPr>
              <w:t>联席会议</w:t>
            </w:r>
            <w:r>
              <w:rPr>
                <w:rFonts w:hint="eastAsia" w:ascii="宋体" w:hAnsi="宋体" w:cs="宋体"/>
                <w:color w:val="000000"/>
                <w:kern w:val="0"/>
                <w:sz w:val="18"/>
                <w:szCs w:val="18"/>
              </w:rPr>
              <w:t>4次，承办民营经济表彰大会1次。④市企业改革领导组工作经费项目：基本完成全市国有、集体企业改革工作。⑤5G通信网络建设协调领导小组工作经费：开展疑难站点专项督察2次，协调解决工作推进中的重大问题。</w:t>
            </w:r>
          </w:p>
        </w:tc>
      </w:tr>
      <w:tr w14:paraId="717A1B7C">
        <w:tblPrEx>
          <w:tblCellMar>
            <w:top w:w="0" w:type="dxa"/>
            <w:left w:w="108" w:type="dxa"/>
            <w:bottom w:w="0" w:type="dxa"/>
            <w:right w:w="108" w:type="dxa"/>
          </w:tblCellMar>
        </w:tblPrEx>
        <w:trPr>
          <w:trHeight w:val="904" w:hRule="atLeast"/>
        </w:trPr>
        <w:tc>
          <w:tcPr>
            <w:tcW w:w="461" w:type="dxa"/>
            <w:vMerge w:val="restart"/>
            <w:tcBorders>
              <w:top w:val="single" w:color="000000" w:sz="4" w:space="0"/>
              <w:left w:val="single" w:color="000000" w:sz="4" w:space="0"/>
              <w:bottom w:val="single" w:color="000000" w:sz="4" w:space="0"/>
              <w:right w:val="single" w:color="000000" w:sz="4" w:space="0"/>
            </w:tcBorders>
            <w:noWrap/>
            <w:vAlign w:val="center"/>
          </w:tcPr>
          <w:p w14:paraId="23050B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标</w:t>
            </w:r>
          </w:p>
        </w:tc>
        <w:tc>
          <w:tcPr>
            <w:tcW w:w="673" w:type="dxa"/>
            <w:tcBorders>
              <w:top w:val="single" w:color="000000" w:sz="4" w:space="0"/>
              <w:left w:val="nil"/>
              <w:bottom w:val="single" w:color="000000" w:sz="4" w:space="0"/>
              <w:right w:val="nil"/>
            </w:tcBorders>
            <w:noWrap/>
            <w:vAlign w:val="center"/>
          </w:tcPr>
          <w:p w14:paraId="510D70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指标</w:t>
            </w:r>
          </w:p>
        </w:tc>
        <w:tc>
          <w:tcPr>
            <w:tcW w:w="1365" w:type="dxa"/>
            <w:gridSpan w:val="2"/>
            <w:tcBorders>
              <w:top w:val="single" w:color="000000" w:sz="4" w:space="0"/>
              <w:left w:val="single" w:color="000000" w:sz="4" w:space="0"/>
              <w:bottom w:val="single" w:color="000000" w:sz="4" w:space="0"/>
              <w:right w:val="nil"/>
            </w:tcBorders>
            <w:noWrap/>
            <w:vAlign w:val="center"/>
          </w:tcPr>
          <w:p w14:paraId="6A0BA1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2499" w:type="dxa"/>
            <w:tcBorders>
              <w:top w:val="single" w:color="000000" w:sz="4" w:space="0"/>
              <w:left w:val="single" w:color="000000" w:sz="4" w:space="0"/>
              <w:bottom w:val="single" w:color="000000" w:sz="4" w:space="0"/>
              <w:right w:val="nil"/>
            </w:tcBorders>
            <w:noWrap/>
            <w:vAlign w:val="center"/>
          </w:tcPr>
          <w:p w14:paraId="764705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4422" w:type="dxa"/>
            <w:gridSpan w:val="2"/>
            <w:tcBorders>
              <w:top w:val="single" w:color="000000" w:sz="4" w:space="0"/>
              <w:left w:val="single" w:color="000000" w:sz="4" w:space="0"/>
              <w:bottom w:val="single" w:color="000000" w:sz="4" w:space="0"/>
              <w:right w:val="single" w:color="000000" w:sz="4" w:space="0"/>
            </w:tcBorders>
            <w:noWrap/>
            <w:vAlign w:val="center"/>
          </w:tcPr>
          <w:p w14:paraId="63D4A9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r>
      <w:tr w14:paraId="5A38E58C">
        <w:tblPrEx>
          <w:tblCellMar>
            <w:top w:w="0" w:type="dxa"/>
            <w:left w:w="108" w:type="dxa"/>
            <w:bottom w:w="0" w:type="dxa"/>
            <w:right w:w="108" w:type="dxa"/>
          </w:tblCellMar>
        </w:tblPrEx>
        <w:trPr>
          <w:trHeight w:val="48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ign w:val="center"/>
          </w:tcPr>
          <w:p w14:paraId="42E91E5B">
            <w:pPr>
              <w:jc w:val="center"/>
              <w:rPr>
                <w:rFonts w:ascii="宋体" w:hAnsi="宋体" w:cs="宋体"/>
                <w:color w:val="000000"/>
                <w:sz w:val="20"/>
                <w:szCs w:val="20"/>
              </w:rPr>
            </w:pPr>
          </w:p>
        </w:tc>
        <w:tc>
          <w:tcPr>
            <w:tcW w:w="673" w:type="dxa"/>
            <w:vMerge w:val="restart"/>
            <w:tcBorders>
              <w:top w:val="single" w:color="000000" w:sz="4" w:space="0"/>
              <w:left w:val="nil"/>
              <w:bottom w:val="single" w:color="000000" w:sz="4" w:space="0"/>
              <w:right w:val="nil"/>
            </w:tcBorders>
            <w:noWrap/>
            <w:vAlign w:val="center"/>
          </w:tcPr>
          <w:p w14:paraId="598C18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365" w:type="dxa"/>
            <w:gridSpan w:val="2"/>
            <w:tcBorders>
              <w:top w:val="single" w:color="000000" w:sz="4" w:space="0"/>
              <w:left w:val="single" w:color="000000" w:sz="4" w:space="0"/>
              <w:bottom w:val="single" w:color="000000" w:sz="4" w:space="0"/>
              <w:right w:val="nil"/>
            </w:tcBorders>
            <w:noWrap/>
            <w:vAlign w:val="center"/>
          </w:tcPr>
          <w:p w14:paraId="020D60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2499" w:type="dxa"/>
            <w:tcBorders>
              <w:top w:val="single" w:color="000000" w:sz="4" w:space="0"/>
              <w:left w:val="single" w:color="000000" w:sz="4" w:space="0"/>
              <w:bottom w:val="single" w:color="000000" w:sz="4" w:space="0"/>
              <w:right w:val="nil"/>
            </w:tcBorders>
            <w:noWrap/>
            <w:vAlign w:val="center"/>
          </w:tcPr>
          <w:p w14:paraId="44F052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会议活动开展次数</w:t>
            </w:r>
          </w:p>
        </w:tc>
        <w:tc>
          <w:tcPr>
            <w:tcW w:w="4422" w:type="dxa"/>
            <w:gridSpan w:val="2"/>
            <w:tcBorders>
              <w:top w:val="single" w:color="000000" w:sz="4" w:space="0"/>
              <w:left w:val="single" w:color="000000" w:sz="4" w:space="0"/>
              <w:bottom w:val="single" w:color="000000" w:sz="4" w:space="0"/>
              <w:right w:val="single" w:color="000000" w:sz="4" w:space="0"/>
            </w:tcBorders>
            <w:noWrap/>
            <w:vAlign w:val="center"/>
          </w:tcPr>
          <w:p w14:paraId="6756B2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≥8次</w:t>
            </w:r>
          </w:p>
        </w:tc>
      </w:tr>
      <w:tr w14:paraId="719B4D30">
        <w:tblPrEx>
          <w:tblCellMar>
            <w:top w:w="0" w:type="dxa"/>
            <w:left w:w="108" w:type="dxa"/>
            <w:bottom w:w="0" w:type="dxa"/>
            <w:right w:w="108" w:type="dxa"/>
          </w:tblCellMar>
        </w:tblPrEx>
        <w:trPr>
          <w:trHeight w:val="48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ign w:val="center"/>
          </w:tcPr>
          <w:p w14:paraId="315B8B2B">
            <w:pPr>
              <w:jc w:val="center"/>
              <w:rPr>
                <w:rFonts w:ascii="宋体" w:hAnsi="宋体" w:cs="宋体"/>
                <w:color w:val="000000"/>
                <w:sz w:val="20"/>
                <w:szCs w:val="20"/>
              </w:rPr>
            </w:pPr>
          </w:p>
        </w:tc>
        <w:tc>
          <w:tcPr>
            <w:tcW w:w="673" w:type="dxa"/>
            <w:vMerge w:val="continue"/>
            <w:tcBorders>
              <w:top w:val="single" w:color="000000" w:sz="4" w:space="0"/>
              <w:left w:val="nil"/>
              <w:bottom w:val="single" w:color="000000" w:sz="4" w:space="0"/>
              <w:right w:val="nil"/>
            </w:tcBorders>
            <w:noWrap/>
            <w:vAlign w:val="center"/>
          </w:tcPr>
          <w:p w14:paraId="217BC098">
            <w:pPr>
              <w:jc w:val="center"/>
              <w:rPr>
                <w:rFonts w:ascii="宋体" w:hAnsi="宋体" w:cs="宋体"/>
                <w:color w:val="000000"/>
                <w:sz w:val="20"/>
                <w:szCs w:val="20"/>
              </w:rPr>
            </w:pPr>
          </w:p>
        </w:tc>
        <w:tc>
          <w:tcPr>
            <w:tcW w:w="1365" w:type="dxa"/>
            <w:gridSpan w:val="2"/>
            <w:tcBorders>
              <w:top w:val="single" w:color="000000" w:sz="4" w:space="0"/>
              <w:left w:val="single" w:color="000000" w:sz="4" w:space="0"/>
              <w:bottom w:val="single" w:color="000000" w:sz="4" w:space="0"/>
              <w:right w:val="nil"/>
            </w:tcBorders>
            <w:noWrap/>
            <w:vAlign w:val="center"/>
          </w:tcPr>
          <w:p w14:paraId="49841C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2499" w:type="dxa"/>
            <w:tcBorders>
              <w:top w:val="single" w:color="000000" w:sz="4" w:space="0"/>
              <w:left w:val="single" w:color="000000" w:sz="4" w:space="0"/>
              <w:bottom w:val="single" w:color="000000" w:sz="4" w:space="0"/>
              <w:right w:val="nil"/>
            </w:tcBorders>
            <w:noWrap/>
            <w:vAlign w:val="center"/>
          </w:tcPr>
          <w:p w14:paraId="660E74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各项领导组工作的完成情况</w:t>
            </w:r>
          </w:p>
        </w:tc>
        <w:tc>
          <w:tcPr>
            <w:tcW w:w="4422" w:type="dxa"/>
            <w:gridSpan w:val="2"/>
            <w:tcBorders>
              <w:top w:val="single" w:color="000000" w:sz="4" w:space="0"/>
              <w:left w:val="single" w:color="000000" w:sz="4" w:space="0"/>
              <w:bottom w:val="single" w:color="000000" w:sz="4" w:space="0"/>
              <w:right w:val="single" w:color="000000" w:sz="4" w:space="0"/>
            </w:tcBorders>
            <w:noWrap/>
            <w:vAlign w:val="center"/>
          </w:tcPr>
          <w:p w14:paraId="452A62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按质按量开展工作</w:t>
            </w:r>
          </w:p>
        </w:tc>
      </w:tr>
      <w:tr w14:paraId="31F50ABF">
        <w:tblPrEx>
          <w:tblCellMar>
            <w:top w:w="0" w:type="dxa"/>
            <w:left w:w="108" w:type="dxa"/>
            <w:bottom w:w="0" w:type="dxa"/>
            <w:right w:w="108" w:type="dxa"/>
          </w:tblCellMar>
        </w:tblPrEx>
        <w:trPr>
          <w:trHeight w:val="48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ign w:val="center"/>
          </w:tcPr>
          <w:p w14:paraId="6D567822">
            <w:pPr>
              <w:jc w:val="center"/>
              <w:rPr>
                <w:rFonts w:ascii="宋体" w:hAnsi="宋体" w:cs="宋体"/>
                <w:color w:val="000000"/>
                <w:sz w:val="20"/>
                <w:szCs w:val="20"/>
              </w:rPr>
            </w:pPr>
          </w:p>
        </w:tc>
        <w:tc>
          <w:tcPr>
            <w:tcW w:w="673" w:type="dxa"/>
            <w:vMerge w:val="continue"/>
            <w:tcBorders>
              <w:top w:val="single" w:color="000000" w:sz="4" w:space="0"/>
              <w:left w:val="nil"/>
              <w:bottom w:val="single" w:color="000000" w:sz="4" w:space="0"/>
              <w:right w:val="nil"/>
            </w:tcBorders>
            <w:noWrap/>
            <w:vAlign w:val="center"/>
          </w:tcPr>
          <w:p w14:paraId="790F3ACD">
            <w:pPr>
              <w:jc w:val="center"/>
              <w:rPr>
                <w:rFonts w:ascii="宋体" w:hAnsi="宋体" w:cs="宋体"/>
                <w:color w:val="000000"/>
                <w:sz w:val="20"/>
                <w:szCs w:val="20"/>
              </w:rPr>
            </w:pPr>
          </w:p>
        </w:tc>
        <w:tc>
          <w:tcPr>
            <w:tcW w:w="1365" w:type="dxa"/>
            <w:gridSpan w:val="2"/>
            <w:tcBorders>
              <w:top w:val="single" w:color="000000" w:sz="4" w:space="0"/>
              <w:left w:val="single" w:color="000000" w:sz="4" w:space="0"/>
              <w:bottom w:val="single" w:color="000000" w:sz="4" w:space="0"/>
              <w:right w:val="nil"/>
            </w:tcBorders>
            <w:noWrap/>
            <w:vAlign w:val="center"/>
          </w:tcPr>
          <w:p w14:paraId="3118C1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2499" w:type="dxa"/>
            <w:tcBorders>
              <w:top w:val="single" w:color="000000" w:sz="4" w:space="0"/>
              <w:left w:val="single" w:color="000000" w:sz="4" w:space="0"/>
              <w:bottom w:val="single" w:color="000000" w:sz="4" w:space="0"/>
              <w:right w:val="nil"/>
            </w:tcBorders>
            <w:noWrap/>
            <w:vAlign w:val="center"/>
          </w:tcPr>
          <w:p w14:paraId="27606F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资金拨付到位时效</w:t>
            </w:r>
          </w:p>
        </w:tc>
        <w:tc>
          <w:tcPr>
            <w:tcW w:w="4422" w:type="dxa"/>
            <w:gridSpan w:val="2"/>
            <w:tcBorders>
              <w:top w:val="single" w:color="000000" w:sz="4" w:space="0"/>
              <w:left w:val="single" w:color="000000" w:sz="4" w:space="0"/>
              <w:bottom w:val="single" w:color="000000" w:sz="4" w:space="0"/>
              <w:right w:val="single" w:color="000000" w:sz="4" w:space="0"/>
            </w:tcBorders>
            <w:noWrap/>
            <w:vAlign w:val="center"/>
          </w:tcPr>
          <w:p w14:paraId="669A63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及时拨付</w:t>
            </w:r>
          </w:p>
        </w:tc>
      </w:tr>
      <w:tr w14:paraId="2122548C">
        <w:tblPrEx>
          <w:tblCellMar>
            <w:top w:w="0" w:type="dxa"/>
            <w:left w:w="108" w:type="dxa"/>
            <w:bottom w:w="0" w:type="dxa"/>
            <w:right w:w="108" w:type="dxa"/>
          </w:tblCellMar>
        </w:tblPrEx>
        <w:trPr>
          <w:trHeight w:val="48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ign w:val="center"/>
          </w:tcPr>
          <w:p w14:paraId="61B9B021">
            <w:pPr>
              <w:jc w:val="center"/>
              <w:rPr>
                <w:rFonts w:ascii="宋体" w:hAnsi="宋体" w:cs="宋体"/>
                <w:color w:val="000000"/>
                <w:sz w:val="20"/>
                <w:szCs w:val="20"/>
              </w:rPr>
            </w:pPr>
          </w:p>
        </w:tc>
        <w:tc>
          <w:tcPr>
            <w:tcW w:w="673" w:type="dxa"/>
            <w:vMerge w:val="continue"/>
            <w:tcBorders>
              <w:top w:val="single" w:color="000000" w:sz="4" w:space="0"/>
              <w:left w:val="nil"/>
              <w:bottom w:val="single" w:color="000000" w:sz="4" w:space="0"/>
              <w:right w:val="nil"/>
            </w:tcBorders>
            <w:noWrap/>
            <w:vAlign w:val="center"/>
          </w:tcPr>
          <w:p w14:paraId="2B98CE1E">
            <w:pPr>
              <w:jc w:val="center"/>
              <w:rPr>
                <w:rFonts w:ascii="宋体" w:hAnsi="宋体" w:cs="宋体"/>
                <w:color w:val="000000"/>
                <w:sz w:val="20"/>
                <w:szCs w:val="20"/>
              </w:rPr>
            </w:pPr>
          </w:p>
        </w:tc>
        <w:tc>
          <w:tcPr>
            <w:tcW w:w="1365" w:type="dxa"/>
            <w:gridSpan w:val="2"/>
            <w:tcBorders>
              <w:top w:val="single" w:color="000000" w:sz="4" w:space="0"/>
              <w:left w:val="single" w:color="000000" w:sz="4" w:space="0"/>
              <w:bottom w:val="single" w:color="000000" w:sz="4" w:space="0"/>
              <w:right w:val="nil"/>
            </w:tcBorders>
            <w:noWrap/>
            <w:vAlign w:val="center"/>
          </w:tcPr>
          <w:p w14:paraId="0BAA4B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2499" w:type="dxa"/>
            <w:tcBorders>
              <w:top w:val="single" w:color="000000" w:sz="4" w:space="0"/>
              <w:left w:val="single" w:color="000000" w:sz="4" w:space="0"/>
              <w:bottom w:val="single" w:color="000000" w:sz="4" w:space="0"/>
              <w:right w:val="nil"/>
            </w:tcBorders>
            <w:noWrap/>
            <w:vAlign w:val="center"/>
          </w:tcPr>
          <w:p w14:paraId="1F7386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成本费用的开支</w:t>
            </w:r>
          </w:p>
        </w:tc>
        <w:tc>
          <w:tcPr>
            <w:tcW w:w="4422" w:type="dxa"/>
            <w:gridSpan w:val="2"/>
            <w:tcBorders>
              <w:top w:val="single" w:color="000000" w:sz="4" w:space="0"/>
              <w:left w:val="single" w:color="000000" w:sz="4" w:space="0"/>
              <w:bottom w:val="single" w:color="000000" w:sz="4" w:space="0"/>
              <w:right w:val="single" w:color="000000" w:sz="4" w:space="0"/>
            </w:tcBorders>
            <w:noWrap/>
            <w:vAlign w:val="center"/>
          </w:tcPr>
          <w:p w14:paraId="11DC71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24万元</w:t>
            </w:r>
          </w:p>
        </w:tc>
      </w:tr>
      <w:tr w14:paraId="62995AD0">
        <w:tblPrEx>
          <w:tblCellMar>
            <w:top w:w="0" w:type="dxa"/>
            <w:left w:w="108" w:type="dxa"/>
            <w:bottom w:w="0" w:type="dxa"/>
            <w:right w:w="108" w:type="dxa"/>
          </w:tblCellMar>
        </w:tblPrEx>
        <w:trPr>
          <w:trHeight w:val="532"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ign w:val="center"/>
          </w:tcPr>
          <w:p w14:paraId="1F9C6C74">
            <w:pPr>
              <w:jc w:val="center"/>
              <w:rPr>
                <w:rFonts w:ascii="宋体" w:hAnsi="宋体" w:cs="宋体"/>
                <w:color w:val="000000"/>
                <w:sz w:val="20"/>
                <w:szCs w:val="20"/>
              </w:rPr>
            </w:pPr>
          </w:p>
        </w:tc>
        <w:tc>
          <w:tcPr>
            <w:tcW w:w="673" w:type="dxa"/>
            <w:vMerge w:val="restart"/>
            <w:tcBorders>
              <w:top w:val="single" w:color="000000" w:sz="4" w:space="0"/>
              <w:left w:val="nil"/>
              <w:bottom w:val="single" w:color="000000" w:sz="4" w:space="0"/>
              <w:right w:val="nil"/>
            </w:tcBorders>
            <w:noWrap/>
            <w:vAlign w:val="center"/>
          </w:tcPr>
          <w:p w14:paraId="0BAF45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365" w:type="dxa"/>
            <w:gridSpan w:val="2"/>
            <w:tcBorders>
              <w:top w:val="single" w:color="000000" w:sz="4" w:space="0"/>
              <w:left w:val="single" w:color="000000" w:sz="4" w:space="0"/>
              <w:bottom w:val="single" w:color="000000" w:sz="4" w:space="0"/>
              <w:right w:val="nil"/>
            </w:tcBorders>
            <w:noWrap/>
            <w:vAlign w:val="center"/>
          </w:tcPr>
          <w:p w14:paraId="557AE8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经济效益指标</w:t>
            </w:r>
          </w:p>
        </w:tc>
        <w:tc>
          <w:tcPr>
            <w:tcW w:w="2499" w:type="dxa"/>
            <w:tcBorders>
              <w:top w:val="single" w:color="000000" w:sz="4" w:space="0"/>
              <w:left w:val="single" w:color="000000" w:sz="4" w:space="0"/>
              <w:bottom w:val="single" w:color="000000" w:sz="4" w:space="0"/>
              <w:right w:val="nil"/>
            </w:tcBorders>
            <w:noWrap/>
            <w:vAlign w:val="center"/>
          </w:tcPr>
          <w:p w14:paraId="4CE364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促进我市经济发展</w:t>
            </w:r>
          </w:p>
        </w:tc>
        <w:tc>
          <w:tcPr>
            <w:tcW w:w="4422" w:type="dxa"/>
            <w:gridSpan w:val="2"/>
            <w:tcBorders>
              <w:top w:val="single" w:color="000000" w:sz="4" w:space="0"/>
              <w:left w:val="single" w:color="000000" w:sz="4" w:space="0"/>
              <w:bottom w:val="single" w:color="000000" w:sz="4" w:space="0"/>
              <w:right w:val="single" w:color="000000" w:sz="4" w:space="0"/>
            </w:tcBorders>
            <w:noWrap/>
            <w:vAlign w:val="center"/>
          </w:tcPr>
          <w:p w14:paraId="3A701E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效果明显</w:t>
            </w:r>
          </w:p>
        </w:tc>
      </w:tr>
      <w:tr w14:paraId="4518DDCE">
        <w:tblPrEx>
          <w:tblCellMar>
            <w:top w:w="0" w:type="dxa"/>
            <w:left w:w="108" w:type="dxa"/>
            <w:bottom w:w="0" w:type="dxa"/>
            <w:right w:w="108" w:type="dxa"/>
          </w:tblCellMar>
        </w:tblPrEx>
        <w:trPr>
          <w:trHeight w:val="722"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ign w:val="center"/>
          </w:tcPr>
          <w:p w14:paraId="67F70749">
            <w:pPr>
              <w:jc w:val="center"/>
              <w:rPr>
                <w:rFonts w:ascii="宋体" w:hAnsi="宋体" w:cs="宋体"/>
                <w:color w:val="000000"/>
                <w:sz w:val="20"/>
                <w:szCs w:val="20"/>
              </w:rPr>
            </w:pPr>
          </w:p>
        </w:tc>
        <w:tc>
          <w:tcPr>
            <w:tcW w:w="673" w:type="dxa"/>
            <w:vMerge w:val="continue"/>
            <w:tcBorders>
              <w:top w:val="single" w:color="000000" w:sz="4" w:space="0"/>
              <w:left w:val="nil"/>
              <w:bottom w:val="single" w:color="000000" w:sz="4" w:space="0"/>
              <w:right w:val="nil"/>
            </w:tcBorders>
            <w:noWrap/>
            <w:vAlign w:val="center"/>
          </w:tcPr>
          <w:p w14:paraId="6B5F525D">
            <w:pPr>
              <w:jc w:val="center"/>
              <w:rPr>
                <w:rFonts w:ascii="宋体" w:hAnsi="宋体" w:cs="宋体"/>
                <w:color w:val="000000"/>
                <w:sz w:val="20"/>
                <w:szCs w:val="20"/>
              </w:rPr>
            </w:pPr>
          </w:p>
        </w:tc>
        <w:tc>
          <w:tcPr>
            <w:tcW w:w="1365" w:type="dxa"/>
            <w:gridSpan w:val="2"/>
            <w:tcBorders>
              <w:top w:val="single" w:color="000000" w:sz="4" w:space="0"/>
              <w:left w:val="single" w:color="000000" w:sz="4" w:space="0"/>
              <w:bottom w:val="single" w:color="000000" w:sz="4" w:space="0"/>
              <w:right w:val="nil"/>
            </w:tcBorders>
            <w:noWrap/>
            <w:vAlign w:val="center"/>
          </w:tcPr>
          <w:p w14:paraId="756DD8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社会效益指标</w:t>
            </w:r>
          </w:p>
        </w:tc>
        <w:tc>
          <w:tcPr>
            <w:tcW w:w="2499" w:type="dxa"/>
            <w:tcBorders>
              <w:top w:val="single" w:color="000000" w:sz="4" w:space="0"/>
              <w:left w:val="single" w:color="000000" w:sz="4" w:space="0"/>
              <w:bottom w:val="single" w:color="000000" w:sz="4" w:space="0"/>
              <w:right w:val="nil"/>
            </w:tcBorders>
            <w:noWrap/>
            <w:vAlign w:val="center"/>
          </w:tcPr>
          <w:p w14:paraId="481835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推进民营企业发展</w:t>
            </w:r>
          </w:p>
        </w:tc>
        <w:tc>
          <w:tcPr>
            <w:tcW w:w="4422" w:type="dxa"/>
            <w:gridSpan w:val="2"/>
            <w:tcBorders>
              <w:top w:val="single" w:color="000000" w:sz="4" w:space="0"/>
              <w:left w:val="single" w:color="000000" w:sz="4" w:space="0"/>
              <w:bottom w:val="single" w:color="000000" w:sz="4" w:space="0"/>
              <w:right w:val="single" w:color="000000" w:sz="4" w:space="0"/>
            </w:tcBorders>
            <w:noWrap/>
            <w:vAlign w:val="center"/>
          </w:tcPr>
          <w:p w14:paraId="682FCC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效果显著</w:t>
            </w:r>
          </w:p>
        </w:tc>
      </w:tr>
      <w:tr w14:paraId="56A5D3F1">
        <w:tblPrEx>
          <w:tblCellMar>
            <w:top w:w="0" w:type="dxa"/>
            <w:left w:w="108" w:type="dxa"/>
            <w:bottom w:w="0" w:type="dxa"/>
            <w:right w:w="108" w:type="dxa"/>
          </w:tblCellMar>
        </w:tblPrEx>
        <w:trPr>
          <w:trHeight w:val="722"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ign w:val="center"/>
          </w:tcPr>
          <w:p w14:paraId="4A918469">
            <w:pPr>
              <w:jc w:val="center"/>
              <w:rPr>
                <w:rFonts w:ascii="宋体" w:hAnsi="宋体" w:cs="宋体"/>
                <w:color w:val="000000"/>
                <w:sz w:val="20"/>
                <w:szCs w:val="20"/>
              </w:rPr>
            </w:pPr>
          </w:p>
        </w:tc>
        <w:tc>
          <w:tcPr>
            <w:tcW w:w="673" w:type="dxa"/>
            <w:vMerge w:val="continue"/>
            <w:tcBorders>
              <w:top w:val="single" w:color="000000" w:sz="4" w:space="0"/>
              <w:left w:val="nil"/>
              <w:bottom w:val="single" w:color="000000" w:sz="4" w:space="0"/>
              <w:right w:val="nil"/>
            </w:tcBorders>
            <w:noWrap/>
            <w:vAlign w:val="center"/>
          </w:tcPr>
          <w:p w14:paraId="40852DA6">
            <w:pPr>
              <w:jc w:val="center"/>
              <w:rPr>
                <w:rFonts w:ascii="宋体" w:hAnsi="宋体" w:cs="宋体"/>
                <w:color w:val="000000"/>
                <w:sz w:val="20"/>
                <w:szCs w:val="20"/>
              </w:rPr>
            </w:pPr>
          </w:p>
        </w:tc>
        <w:tc>
          <w:tcPr>
            <w:tcW w:w="1365" w:type="dxa"/>
            <w:gridSpan w:val="2"/>
            <w:tcBorders>
              <w:top w:val="single" w:color="000000" w:sz="4" w:space="0"/>
              <w:left w:val="single" w:color="000000" w:sz="4" w:space="0"/>
              <w:bottom w:val="single" w:color="000000" w:sz="4" w:space="0"/>
              <w:right w:val="nil"/>
            </w:tcBorders>
            <w:noWrap/>
            <w:vAlign w:val="center"/>
          </w:tcPr>
          <w:p w14:paraId="5997B2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生态效益指标</w:t>
            </w:r>
          </w:p>
        </w:tc>
        <w:tc>
          <w:tcPr>
            <w:tcW w:w="2499" w:type="dxa"/>
            <w:tcBorders>
              <w:top w:val="single" w:color="000000" w:sz="4" w:space="0"/>
              <w:left w:val="single" w:color="000000" w:sz="4" w:space="0"/>
              <w:bottom w:val="single" w:color="000000" w:sz="4" w:space="0"/>
              <w:right w:val="nil"/>
            </w:tcBorders>
            <w:noWrap/>
            <w:vAlign w:val="center"/>
          </w:tcPr>
          <w:p w14:paraId="07EBC4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生态效益指标</w:t>
            </w:r>
          </w:p>
        </w:tc>
        <w:tc>
          <w:tcPr>
            <w:tcW w:w="4422" w:type="dxa"/>
            <w:gridSpan w:val="2"/>
            <w:tcBorders>
              <w:top w:val="single" w:color="000000" w:sz="4" w:space="0"/>
              <w:left w:val="single" w:color="000000" w:sz="4" w:space="0"/>
              <w:bottom w:val="single" w:color="000000" w:sz="4" w:space="0"/>
              <w:right w:val="single" w:color="000000" w:sz="4" w:space="0"/>
            </w:tcBorders>
            <w:noWrap/>
            <w:vAlign w:val="center"/>
          </w:tcPr>
          <w:p w14:paraId="592427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不适用</w:t>
            </w:r>
          </w:p>
        </w:tc>
      </w:tr>
      <w:tr w14:paraId="6F664F13">
        <w:tblPrEx>
          <w:tblCellMar>
            <w:top w:w="0" w:type="dxa"/>
            <w:left w:w="108" w:type="dxa"/>
            <w:bottom w:w="0" w:type="dxa"/>
            <w:right w:w="108" w:type="dxa"/>
          </w:tblCellMar>
        </w:tblPrEx>
        <w:trPr>
          <w:trHeight w:val="959"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ign w:val="center"/>
          </w:tcPr>
          <w:p w14:paraId="1015D915">
            <w:pPr>
              <w:jc w:val="center"/>
              <w:rPr>
                <w:rFonts w:ascii="宋体" w:hAnsi="宋体" w:cs="宋体"/>
                <w:color w:val="000000"/>
                <w:sz w:val="20"/>
                <w:szCs w:val="20"/>
              </w:rPr>
            </w:pPr>
          </w:p>
        </w:tc>
        <w:tc>
          <w:tcPr>
            <w:tcW w:w="673" w:type="dxa"/>
            <w:vMerge w:val="continue"/>
            <w:tcBorders>
              <w:top w:val="single" w:color="000000" w:sz="4" w:space="0"/>
              <w:left w:val="nil"/>
              <w:bottom w:val="single" w:color="000000" w:sz="4" w:space="0"/>
              <w:right w:val="nil"/>
            </w:tcBorders>
            <w:noWrap/>
            <w:vAlign w:val="center"/>
          </w:tcPr>
          <w:p w14:paraId="50481870">
            <w:pPr>
              <w:jc w:val="center"/>
              <w:rPr>
                <w:rFonts w:ascii="宋体" w:hAnsi="宋体" w:cs="宋体"/>
                <w:color w:val="000000"/>
                <w:sz w:val="20"/>
                <w:szCs w:val="20"/>
              </w:rPr>
            </w:pPr>
          </w:p>
        </w:tc>
        <w:tc>
          <w:tcPr>
            <w:tcW w:w="1365" w:type="dxa"/>
            <w:gridSpan w:val="2"/>
            <w:tcBorders>
              <w:top w:val="single" w:color="000000" w:sz="4" w:space="0"/>
              <w:left w:val="single" w:color="000000" w:sz="4" w:space="0"/>
              <w:bottom w:val="single" w:color="000000" w:sz="4" w:space="0"/>
              <w:right w:val="nil"/>
            </w:tcBorders>
            <w:noWrap/>
            <w:vAlign w:val="center"/>
          </w:tcPr>
          <w:p w14:paraId="27E46E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可持续影响指标</w:t>
            </w:r>
          </w:p>
        </w:tc>
        <w:tc>
          <w:tcPr>
            <w:tcW w:w="2499" w:type="dxa"/>
            <w:tcBorders>
              <w:top w:val="single" w:color="000000" w:sz="4" w:space="0"/>
              <w:left w:val="single" w:color="000000" w:sz="4" w:space="0"/>
              <w:bottom w:val="single" w:color="000000" w:sz="4" w:space="0"/>
              <w:right w:val="nil"/>
            </w:tcBorders>
            <w:noWrap/>
            <w:vAlign w:val="center"/>
          </w:tcPr>
          <w:p w14:paraId="207B1C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项目的可持续影响度</w:t>
            </w:r>
          </w:p>
        </w:tc>
        <w:tc>
          <w:tcPr>
            <w:tcW w:w="4422" w:type="dxa"/>
            <w:gridSpan w:val="2"/>
            <w:tcBorders>
              <w:top w:val="single" w:color="000000" w:sz="4" w:space="0"/>
              <w:left w:val="single" w:color="000000" w:sz="4" w:space="0"/>
              <w:bottom w:val="single" w:color="000000" w:sz="4" w:space="0"/>
              <w:right w:val="single" w:color="000000" w:sz="4" w:space="0"/>
            </w:tcBorders>
            <w:noWrap/>
            <w:vAlign w:val="center"/>
          </w:tcPr>
          <w:p w14:paraId="562E2E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可持续影响</w:t>
            </w:r>
          </w:p>
        </w:tc>
      </w:tr>
      <w:tr w14:paraId="2E89567D">
        <w:tblPrEx>
          <w:tblCellMar>
            <w:top w:w="0" w:type="dxa"/>
            <w:left w:w="108" w:type="dxa"/>
            <w:bottom w:w="0" w:type="dxa"/>
            <w:right w:w="108" w:type="dxa"/>
          </w:tblCellMar>
        </w:tblPrEx>
        <w:trPr>
          <w:trHeight w:val="1187"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ign w:val="center"/>
          </w:tcPr>
          <w:p w14:paraId="147C63F7">
            <w:pPr>
              <w:jc w:val="center"/>
              <w:rPr>
                <w:rFonts w:ascii="宋体" w:hAnsi="宋体" w:cs="宋体"/>
                <w:color w:val="000000"/>
                <w:sz w:val="20"/>
                <w:szCs w:val="20"/>
              </w:rPr>
            </w:pPr>
          </w:p>
        </w:tc>
        <w:tc>
          <w:tcPr>
            <w:tcW w:w="673" w:type="dxa"/>
            <w:tcBorders>
              <w:top w:val="single" w:color="000000" w:sz="4" w:space="0"/>
              <w:left w:val="nil"/>
              <w:bottom w:val="single" w:color="000000" w:sz="4" w:space="0"/>
              <w:right w:val="nil"/>
            </w:tcBorders>
            <w:noWrap/>
            <w:vAlign w:val="center"/>
          </w:tcPr>
          <w:p w14:paraId="2649B6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365" w:type="dxa"/>
            <w:gridSpan w:val="2"/>
            <w:tcBorders>
              <w:top w:val="single" w:color="000000" w:sz="4" w:space="0"/>
              <w:left w:val="single" w:color="000000" w:sz="4" w:space="0"/>
              <w:bottom w:val="single" w:color="000000" w:sz="4" w:space="0"/>
              <w:right w:val="nil"/>
            </w:tcBorders>
            <w:noWrap/>
            <w:vAlign w:val="center"/>
          </w:tcPr>
          <w:p w14:paraId="3A27D7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2499" w:type="dxa"/>
            <w:tcBorders>
              <w:top w:val="single" w:color="000000" w:sz="4" w:space="0"/>
              <w:left w:val="single" w:color="000000" w:sz="4" w:space="0"/>
              <w:bottom w:val="single" w:color="000000" w:sz="4" w:space="0"/>
              <w:right w:val="nil"/>
            </w:tcBorders>
            <w:noWrap/>
            <w:vAlign w:val="center"/>
          </w:tcPr>
          <w:p w14:paraId="742C37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群众对工作的满意度</w:t>
            </w:r>
          </w:p>
        </w:tc>
        <w:tc>
          <w:tcPr>
            <w:tcW w:w="4422" w:type="dxa"/>
            <w:gridSpan w:val="2"/>
            <w:tcBorders>
              <w:top w:val="single" w:color="000000" w:sz="4" w:space="0"/>
              <w:left w:val="single" w:color="000000" w:sz="4" w:space="0"/>
              <w:bottom w:val="single" w:color="000000" w:sz="4" w:space="0"/>
              <w:right w:val="single" w:color="000000" w:sz="4" w:space="0"/>
            </w:tcBorders>
            <w:noWrap/>
            <w:vAlign w:val="center"/>
          </w:tcPr>
          <w:p w14:paraId="5E462B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r>
    </w:tbl>
    <w:p w14:paraId="05A1577D">
      <w:pPr>
        <w:pStyle w:val="17"/>
        <w:ind w:firstLine="643"/>
        <w:rPr>
          <w:b/>
        </w:rPr>
      </w:pPr>
      <w:r>
        <w:rPr>
          <w:b/>
        </w:rPr>
        <w:t>2.“铁路无人看守道口监护”项目。</w:t>
      </w:r>
    </w:p>
    <w:p w14:paraId="7DFE2906">
      <w:pPr>
        <w:pStyle w:val="17"/>
        <w:rPr>
          <w:bCs/>
        </w:rPr>
      </w:pPr>
      <w:r>
        <w:rPr>
          <w:bCs/>
        </w:rPr>
        <w:t>（1）项目概述。为切实解决实施监护的铁路无人看守道路的安全上存在“看、管”脱节问题，进一步消除监护道口安全隐患。明确由市、县政府监护道口主管部门承担辖区内监护道口安全监管职责，负责监护道口日常安全管理工作。宣传贯彻国家、省有关监护道口安全管理方面的法规、政策；加强各种监护设施、设备的日常维护和更新，协调解决辖区内监护道口安全管理工作中的有关问题。</w:t>
      </w:r>
    </w:p>
    <w:p w14:paraId="50F13FE0">
      <w:pPr>
        <w:pStyle w:val="17"/>
        <w:rPr>
          <w:bCs/>
        </w:rPr>
      </w:pPr>
      <w:r>
        <w:rPr>
          <w:bCs/>
        </w:rPr>
        <w:t>（2）立项依据。</w:t>
      </w:r>
      <w:r>
        <w:rPr>
          <w:rFonts w:hint="eastAsia" w:ascii="仿宋_GB2312" w:hAnsi="仿宋_GB2312" w:cs="仿宋_GB2312"/>
        </w:rPr>
        <w:t>根据《关于进一步加强监护道口安全工作的通知》（皖经信安全函[2019]691号）文件，为切实解决实施监护的铁路无人看守道路的安全上存在“看、管”脱节问题，进一步消除监护道口安全隐患，明确由市、县政府监护道口主管部门承担辖区内监护道口安全监管职责，负责监护道口日常安全管理工作。</w:t>
      </w:r>
    </w:p>
    <w:p w14:paraId="40DE6CE0">
      <w:pPr>
        <w:pStyle w:val="17"/>
        <w:rPr>
          <w:rFonts w:eastAsia="仿宋"/>
          <w:bCs/>
        </w:rPr>
      </w:pPr>
      <w:r>
        <w:rPr>
          <w:bCs/>
        </w:rPr>
        <w:t>（3）实施主体。</w:t>
      </w:r>
      <w:r>
        <w:rPr>
          <w:rFonts w:hint="eastAsia" w:eastAsia="仿宋"/>
        </w:rPr>
        <w:t>黄山市经济和信息化局。</w:t>
      </w:r>
    </w:p>
    <w:p w14:paraId="13EB7FF9">
      <w:pPr>
        <w:pStyle w:val="17"/>
        <w:rPr>
          <w:rFonts w:eastAsia="仿宋"/>
        </w:rPr>
      </w:pPr>
      <w:r>
        <w:rPr>
          <w:bCs/>
        </w:rPr>
        <w:t>（4）起止时间。</w:t>
      </w:r>
      <w:r>
        <w:rPr>
          <w:rFonts w:hint="eastAsia" w:eastAsia="仿宋"/>
        </w:rPr>
        <w:t>2024年1月至2024年12月。</w:t>
      </w:r>
    </w:p>
    <w:p w14:paraId="18CBCF82">
      <w:pPr>
        <w:pStyle w:val="17"/>
        <w:rPr>
          <w:rFonts w:eastAsia="仿宋"/>
        </w:rPr>
      </w:pPr>
      <w:r>
        <w:rPr>
          <w:bCs/>
        </w:rPr>
        <w:t>（5）项目内容。</w:t>
      </w:r>
      <w:r>
        <w:rPr>
          <w:rFonts w:hint="eastAsia" w:eastAsia="仿宋"/>
        </w:rPr>
        <w:t>切实解决实施监护的铁路无人看守道路的安全上存在“看、管”脱节问题，进一步消除监护道口安全隐患。明确由市、县政府监护道口主管部门承担辖区内监护道口安全监管职责，负责监护道口日常安全管理工作。宣传贯彻国家、省有关监护道口安全管理方面的法规、政策；加强各种监护设施、设备的日常维护和更新，协调解决辖区内监护道口安全管理工作中的有关问题。</w:t>
      </w:r>
    </w:p>
    <w:p w14:paraId="34C8BD02">
      <w:pPr>
        <w:pStyle w:val="17"/>
        <w:rPr>
          <w:bCs/>
        </w:rPr>
      </w:pPr>
      <w:r>
        <w:rPr>
          <w:bCs/>
        </w:rPr>
        <w:t>（6）年度预算安排。</w:t>
      </w:r>
      <w:r>
        <w:rPr>
          <w:rFonts w:hint="eastAsia"/>
          <w:bCs/>
        </w:rPr>
        <w:t>24万元。</w:t>
      </w:r>
    </w:p>
    <w:p w14:paraId="31D133E5">
      <w:pPr>
        <w:pStyle w:val="17"/>
        <w:rPr>
          <w:rFonts w:ascii="仿宋_GB2312" w:hAnsi="仿宋_GB2312" w:cs="仿宋_GB2312"/>
        </w:rPr>
      </w:pPr>
      <w:r>
        <w:rPr>
          <w:bCs/>
        </w:rPr>
        <w:t>（7）绩效目标。</w:t>
      </w:r>
      <w:r>
        <w:rPr>
          <w:rFonts w:ascii="仿宋_GB2312" w:hAnsi="仿宋_GB2312" w:cs="仿宋_GB2312"/>
        </w:rPr>
        <w:t>进一步加强我市铁路无人看守道口的安全管理，会同市发展改革委、中国铁路上海局集团公司协同推进铁路道口“平改立”工作，落实铁路沿线安全环境隐患防范治理工作，防止发生安全事故，保护人民群众生命财产安全。</w:t>
      </w:r>
    </w:p>
    <w:tbl>
      <w:tblPr>
        <w:tblStyle w:val="10"/>
        <w:tblW w:w="9360" w:type="dxa"/>
        <w:tblInd w:w="93" w:type="dxa"/>
        <w:tblLayout w:type="autofit"/>
        <w:tblCellMar>
          <w:top w:w="0" w:type="dxa"/>
          <w:left w:w="108" w:type="dxa"/>
          <w:bottom w:w="0" w:type="dxa"/>
          <w:right w:w="108" w:type="dxa"/>
        </w:tblCellMar>
      </w:tblPr>
      <w:tblGrid>
        <w:gridCol w:w="458"/>
        <w:gridCol w:w="1216"/>
        <w:gridCol w:w="1515"/>
        <w:gridCol w:w="2490"/>
        <w:gridCol w:w="1208"/>
        <w:gridCol w:w="2473"/>
      </w:tblGrid>
      <w:tr w14:paraId="13C38C8F">
        <w:tblPrEx>
          <w:tblCellMar>
            <w:top w:w="0" w:type="dxa"/>
            <w:left w:w="108" w:type="dxa"/>
            <w:bottom w:w="0" w:type="dxa"/>
            <w:right w:w="108" w:type="dxa"/>
          </w:tblCellMar>
        </w:tblPrEx>
        <w:trPr>
          <w:trHeight w:val="534" w:hRule="atLeast"/>
        </w:trPr>
        <w:tc>
          <w:tcPr>
            <w:tcW w:w="9360" w:type="dxa"/>
            <w:gridSpan w:val="6"/>
            <w:tcBorders>
              <w:top w:val="nil"/>
              <w:left w:val="nil"/>
              <w:bottom w:val="nil"/>
              <w:right w:val="nil"/>
            </w:tcBorders>
            <w:noWrap/>
            <w:vAlign w:val="center"/>
          </w:tcPr>
          <w:p w14:paraId="1ACA9C51">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项目支出绩效目标表</w:t>
            </w:r>
          </w:p>
        </w:tc>
      </w:tr>
      <w:tr w14:paraId="20819EA1">
        <w:tblPrEx>
          <w:tblCellMar>
            <w:top w:w="0" w:type="dxa"/>
            <w:left w:w="108" w:type="dxa"/>
            <w:bottom w:w="0" w:type="dxa"/>
            <w:right w:w="108" w:type="dxa"/>
          </w:tblCellMar>
        </w:tblPrEx>
        <w:trPr>
          <w:trHeight w:val="306" w:hRule="atLeast"/>
        </w:trPr>
        <w:tc>
          <w:tcPr>
            <w:tcW w:w="9360" w:type="dxa"/>
            <w:gridSpan w:val="6"/>
            <w:tcBorders>
              <w:top w:val="nil"/>
              <w:left w:val="nil"/>
              <w:bottom w:val="nil"/>
              <w:right w:val="nil"/>
            </w:tcBorders>
            <w:noWrap/>
            <w:vAlign w:val="center"/>
          </w:tcPr>
          <w:p w14:paraId="7C9AEF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（2024年度）                                </w:t>
            </w:r>
          </w:p>
        </w:tc>
      </w:tr>
      <w:tr w14:paraId="0D4EA94B">
        <w:tblPrEx>
          <w:tblCellMar>
            <w:top w:w="0" w:type="dxa"/>
            <w:left w:w="108" w:type="dxa"/>
            <w:bottom w:w="0" w:type="dxa"/>
            <w:right w:w="108" w:type="dxa"/>
          </w:tblCellMar>
        </w:tblPrEx>
        <w:trPr>
          <w:trHeight w:val="417" w:hRule="atLeast"/>
        </w:trPr>
        <w:tc>
          <w:tcPr>
            <w:tcW w:w="1674" w:type="dxa"/>
            <w:gridSpan w:val="2"/>
            <w:tcBorders>
              <w:top w:val="nil"/>
              <w:left w:val="nil"/>
              <w:bottom w:val="nil"/>
              <w:right w:val="nil"/>
            </w:tcBorders>
            <w:noWrap/>
            <w:vAlign w:val="center"/>
          </w:tcPr>
          <w:p w14:paraId="4C2E431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项目责任人：</w:t>
            </w:r>
          </w:p>
        </w:tc>
        <w:tc>
          <w:tcPr>
            <w:tcW w:w="4005" w:type="dxa"/>
            <w:gridSpan w:val="2"/>
            <w:tcBorders>
              <w:top w:val="nil"/>
              <w:left w:val="nil"/>
              <w:bottom w:val="nil"/>
              <w:right w:val="nil"/>
            </w:tcBorders>
            <w:noWrap/>
            <w:vAlign w:val="center"/>
          </w:tcPr>
          <w:p w14:paraId="23D62F5F">
            <w:pPr>
              <w:jc w:val="center"/>
              <w:rPr>
                <w:rFonts w:ascii="宋体" w:hAnsi="宋体" w:cs="宋体"/>
                <w:color w:val="000000"/>
                <w:sz w:val="18"/>
                <w:szCs w:val="18"/>
              </w:rPr>
            </w:pPr>
          </w:p>
        </w:tc>
        <w:tc>
          <w:tcPr>
            <w:tcW w:w="3681" w:type="dxa"/>
            <w:gridSpan w:val="2"/>
            <w:tcBorders>
              <w:top w:val="nil"/>
              <w:left w:val="nil"/>
              <w:bottom w:val="nil"/>
              <w:right w:val="nil"/>
            </w:tcBorders>
            <w:noWrap/>
            <w:vAlign w:val="center"/>
          </w:tcPr>
          <w:p w14:paraId="6AF8E712">
            <w:pPr>
              <w:jc w:val="left"/>
              <w:rPr>
                <w:rFonts w:ascii="宋体" w:hAnsi="宋体" w:cs="宋体"/>
                <w:color w:val="000000"/>
                <w:sz w:val="18"/>
                <w:szCs w:val="18"/>
              </w:rPr>
            </w:pPr>
            <w:r>
              <w:rPr>
                <w:rFonts w:hint="eastAsia" w:ascii="宋体" w:hAnsi="宋体" w:cs="宋体"/>
                <w:color w:val="000000"/>
                <w:kern w:val="0"/>
                <w:sz w:val="20"/>
                <w:szCs w:val="20"/>
              </w:rPr>
              <w:t>单位（盖章）：</w:t>
            </w:r>
          </w:p>
        </w:tc>
      </w:tr>
      <w:tr w14:paraId="5376D6B9">
        <w:tblPrEx>
          <w:tblCellMar>
            <w:top w:w="0" w:type="dxa"/>
            <w:left w:w="108" w:type="dxa"/>
            <w:bottom w:w="0" w:type="dxa"/>
            <w:right w:w="108" w:type="dxa"/>
          </w:tblCellMar>
        </w:tblPrEx>
        <w:trPr>
          <w:trHeight w:val="437" w:hRule="atLeast"/>
        </w:trPr>
        <w:tc>
          <w:tcPr>
            <w:tcW w:w="1674" w:type="dxa"/>
            <w:gridSpan w:val="2"/>
            <w:tcBorders>
              <w:top w:val="single" w:color="000000" w:sz="4" w:space="0"/>
              <w:left w:val="single" w:color="000000" w:sz="4" w:space="0"/>
              <w:bottom w:val="single" w:color="000000" w:sz="4" w:space="0"/>
              <w:right w:val="single" w:color="000000" w:sz="4" w:space="0"/>
            </w:tcBorders>
            <w:noWrap/>
            <w:vAlign w:val="center"/>
          </w:tcPr>
          <w:p w14:paraId="2D4C67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7686" w:type="dxa"/>
            <w:gridSpan w:val="4"/>
            <w:tcBorders>
              <w:top w:val="single" w:color="000000" w:sz="4" w:space="0"/>
              <w:left w:val="single" w:color="000000" w:sz="4" w:space="0"/>
              <w:bottom w:val="single" w:color="000000" w:sz="4" w:space="0"/>
              <w:right w:val="single" w:color="000000" w:sz="4" w:space="0"/>
            </w:tcBorders>
            <w:noWrap/>
            <w:vAlign w:val="center"/>
          </w:tcPr>
          <w:p w14:paraId="6688B5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铁路无人看守道口监护</w:t>
            </w:r>
          </w:p>
        </w:tc>
      </w:tr>
      <w:tr w14:paraId="4827D7AF">
        <w:tblPrEx>
          <w:tblCellMar>
            <w:top w:w="0" w:type="dxa"/>
            <w:left w:w="108" w:type="dxa"/>
            <w:bottom w:w="0" w:type="dxa"/>
            <w:right w:w="108" w:type="dxa"/>
          </w:tblCellMar>
        </w:tblPrEx>
        <w:trPr>
          <w:trHeight w:val="621" w:hRule="atLeast"/>
        </w:trPr>
        <w:tc>
          <w:tcPr>
            <w:tcW w:w="1674" w:type="dxa"/>
            <w:gridSpan w:val="2"/>
            <w:tcBorders>
              <w:top w:val="nil"/>
              <w:left w:val="single" w:color="000000" w:sz="4" w:space="0"/>
              <w:bottom w:val="single" w:color="000000" w:sz="4" w:space="0"/>
              <w:right w:val="nil"/>
            </w:tcBorders>
            <w:noWrap/>
            <w:vAlign w:val="center"/>
          </w:tcPr>
          <w:p w14:paraId="20313B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主管部门及代码</w:t>
            </w:r>
          </w:p>
        </w:tc>
        <w:tc>
          <w:tcPr>
            <w:tcW w:w="4005" w:type="dxa"/>
            <w:gridSpan w:val="2"/>
            <w:tcBorders>
              <w:top w:val="nil"/>
              <w:left w:val="single" w:color="000000" w:sz="4" w:space="0"/>
              <w:bottom w:val="single" w:color="000000" w:sz="4" w:space="0"/>
              <w:right w:val="nil"/>
            </w:tcBorders>
            <w:noWrap/>
            <w:vAlign w:val="center"/>
          </w:tcPr>
          <w:p w14:paraId="63253D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[077]黄山市经济和信息化局</w:t>
            </w:r>
          </w:p>
        </w:tc>
        <w:tc>
          <w:tcPr>
            <w:tcW w:w="1208" w:type="dxa"/>
            <w:tcBorders>
              <w:top w:val="nil"/>
              <w:left w:val="single" w:color="000000" w:sz="4" w:space="0"/>
              <w:bottom w:val="single" w:color="000000" w:sz="4" w:space="0"/>
              <w:right w:val="nil"/>
            </w:tcBorders>
            <w:noWrap/>
            <w:vAlign w:val="center"/>
          </w:tcPr>
          <w:p w14:paraId="1BC9D8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实施单位</w:t>
            </w:r>
          </w:p>
        </w:tc>
        <w:tc>
          <w:tcPr>
            <w:tcW w:w="2473" w:type="dxa"/>
            <w:tcBorders>
              <w:top w:val="nil"/>
              <w:left w:val="single" w:color="000000" w:sz="4" w:space="0"/>
              <w:bottom w:val="single" w:color="000000" w:sz="4" w:space="0"/>
              <w:right w:val="single" w:color="000000" w:sz="4" w:space="0"/>
            </w:tcBorders>
            <w:noWrap/>
            <w:vAlign w:val="center"/>
          </w:tcPr>
          <w:p w14:paraId="4FEDFE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黄山市经济和信息化局</w:t>
            </w:r>
          </w:p>
        </w:tc>
      </w:tr>
      <w:tr w14:paraId="63DA9465">
        <w:tblPrEx>
          <w:tblCellMar>
            <w:top w:w="0" w:type="dxa"/>
            <w:left w:w="108" w:type="dxa"/>
            <w:bottom w:w="0" w:type="dxa"/>
            <w:right w:w="108" w:type="dxa"/>
          </w:tblCellMar>
        </w:tblPrEx>
        <w:trPr>
          <w:trHeight w:val="437" w:hRule="atLeast"/>
        </w:trPr>
        <w:tc>
          <w:tcPr>
            <w:tcW w:w="1674" w:type="dxa"/>
            <w:gridSpan w:val="2"/>
            <w:tcBorders>
              <w:top w:val="single" w:color="000000" w:sz="4" w:space="0"/>
              <w:left w:val="single" w:color="000000" w:sz="4" w:space="0"/>
              <w:bottom w:val="single" w:color="000000" w:sz="4" w:space="0"/>
              <w:right w:val="nil"/>
            </w:tcBorders>
            <w:noWrap/>
            <w:vAlign w:val="center"/>
          </w:tcPr>
          <w:p w14:paraId="5CC7E1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项目来源</w:t>
            </w:r>
          </w:p>
        </w:tc>
        <w:tc>
          <w:tcPr>
            <w:tcW w:w="4005" w:type="dxa"/>
            <w:gridSpan w:val="2"/>
            <w:tcBorders>
              <w:top w:val="single" w:color="000000" w:sz="4" w:space="0"/>
              <w:left w:val="single" w:color="000000" w:sz="4" w:space="0"/>
              <w:bottom w:val="single" w:color="000000" w:sz="4" w:space="0"/>
              <w:right w:val="nil"/>
            </w:tcBorders>
            <w:noWrap/>
            <w:vAlign w:val="center"/>
          </w:tcPr>
          <w:p w14:paraId="49D48F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本级申报项目</w:t>
            </w:r>
          </w:p>
        </w:tc>
        <w:tc>
          <w:tcPr>
            <w:tcW w:w="1208" w:type="dxa"/>
            <w:tcBorders>
              <w:top w:val="single" w:color="000000" w:sz="4" w:space="0"/>
              <w:left w:val="single" w:color="000000" w:sz="4" w:space="0"/>
              <w:bottom w:val="single" w:color="000000" w:sz="4" w:space="0"/>
              <w:right w:val="nil"/>
            </w:tcBorders>
            <w:noWrap/>
            <w:vAlign w:val="center"/>
          </w:tcPr>
          <w:p w14:paraId="3DB5E0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项目期</w:t>
            </w:r>
          </w:p>
        </w:tc>
        <w:tc>
          <w:tcPr>
            <w:tcW w:w="2473" w:type="dxa"/>
            <w:tcBorders>
              <w:top w:val="single" w:color="000000" w:sz="4" w:space="0"/>
              <w:left w:val="single" w:color="000000" w:sz="4" w:space="0"/>
              <w:bottom w:val="single" w:color="000000" w:sz="4" w:space="0"/>
              <w:right w:val="single" w:color="000000" w:sz="4" w:space="0"/>
            </w:tcBorders>
            <w:noWrap/>
            <w:vAlign w:val="center"/>
          </w:tcPr>
          <w:p w14:paraId="7E85D4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1年</w:t>
            </w:r>
          </w:p>
        </w:tc>
      </w:tr>
      <w:tr w14:paraId="0ACED6CF">
        <w:tblPrEx>
          <w:tblCellMar>
            <w:top w:w="0" w:type="dxa"/>
            <w:left w:w="108" w:type="dxa"/>
            <w:bottom w:w="0" w:type="dxa"/>
            <w:right w:w="108" w:type="dxa"/>
          </w:tblCellMar>
        </w:tblPrEx>
        <w:trPr>
          <w:trHeight w:val="437" w:hRule="atLeast"/>
        </w:trPr>
        <w:tc>
          <w:tcPr>
            <w:tcW w:w="1674" w:type="dxa"/>
            <w:gridSpan w:val="2"/>
            <w:vMerge w:val="restart"/>
            <w:tcBorders>
              <w:top w:val="single" w:color="000000" w:sz="4" w:space="0"/>
              <w:left w:val="single" w:color="000000" w:sz="4" w:space="0"/>
              <w:bottom w:val="single" w:color="000000" w:sz="4" w:space="0"/>
              <w:right w:val="nil"/>
            </w:tcBorders>
            <w:noWrap/>
            <w:vAlign w:val="center"/>
          </w:tcPr>
          <w:p w14:paraId="6DE5AB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项目资金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（万元）</w:t>
            </w:r>
          </w:p>
        </w:tc>
        <w:tc>
          <w:tcPr>
            <w:tcW w:w="4005" w:type="dxa"/>
            <w:gridSpan w:val="2"/>
            <w:tcBorders>
              <w:top w:val="single" w:color="000000" w:sz="4" w:space="0"/>
              <w:left w:val="single" w:color="000000" w:sz="4" w:space="0"/>
              <w:bottom w:val="single" w:color="000000" w:sz="4" w:space="0"/>
              <w:right w:val="nil"/>
            </w:tcBorders>
            <w:noWrap/>
            <w:vAlign w:val="center"/>
          </w:tcPr>
          <w:p w14:paraId="422D610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年度资金总额：</w:t>
            </w:r>
          </w:p>
        </w:tc>
        <w:tc>
          <w:tcPr>
            <w:tcW w:w="3681" w:type="dxa"/>
            <w:gridSpan w:val="2"/>
            <w:tcBorders>
              <w:top w:val="single" w:color="000000" w:sz="4" w:space="0"/>
              <w:left w:val="single" w:color="000000" w:sz="4" w:space="0"/>
              <w:bottom w:val="single" w:color="000000" w:sz="4" w:space="0"/>
              <w:right w:val="single" w:color="000000" w:sz="4" w:space="0"/>
            </w:tcBorders>
            <w:noWrap/>
            <w:vAlign w:val="center"/>
          </w:tcPr>
          <w:p w14:paraId="64E19624">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24.00 </w:t>
            </w:r>
          </w:p>
        </w:tc>
      </w:tr>
      <w:tr w14:paraId="6171A919">
        <w:tblPrEx>
          <w:tblCellMar>
            <w:top w:w="0" w:type="dxa"/>
            <w:left w:w="108" w:type="dxa"/>
            <w:bottom w:w="0" w:type="dxa"/>
            <w:right w:w="108" w:type="dxa"/>
          </w:tblCellMar>
        </w:tblPrEx>
        <w:trPr>
          <w:trHeight w:val="437" w:hRule="atLeast"/>
        </w:trPr>
        <w:tc>
          <w:tcPr>
            <w:tcW w:w="1674" w:type="dxa"/>
            <w:gridSpan w:val="2"/>
            <w:vMerge w:val="continue"/>
            <w:tcBorders>
              <w:top w:val="single" w:color="000000" w:sz="4" w:space="0"/>
              <w:left w:val="single" w:color="000000" w:sz="4" w:space="0"/>
              <w:bottom w:val="single" w:color="000000" w:sz="4" w:space="0"/>
              <w:right w:val="nil"/>
            </w:tcBorders>
            <w:noWrap/>
            <w:vAlign w:val="center"/>
          </w:tcPr>
          <w:p w14:paraId="23850742">
            <w:pPr>
              <w:jc w:val="center"/>
              <w:rPr>
                <w:rFonts w:ascii="宋体" w:hAnsi="宋体" w:cs="宋体"/>
                <w:color w:val="000000"/>
                <w:sz w:val="20"/>
                <w:szCs w:val="20"/>
              </w:rPr>
            </w:pPr>
          </w:p>
        </w:tc>
        <w:tc>
          <w:tcPr>
            <w:tcW w:w="4005" w:type="dxa"/>
            <w:gridSpan w:val="2"/>
            <w:tcBorders>
              <w:top w:val="single" w:color="000000" w:sz="4" w:space="0"/>
              <w:left w:val="single" w:color="000000" w:sz="4" w:space="0"/>
              <w:bottom w:val="single" w:color="000000" w:sz="4" w:space="0"/>
              <w:right w:val="nil"/>
            </w:tcBorders>
            <w:noWrap/>
            <w:vAlign w:val="center"/>
          </w:tcPr>
          <w:p w14:paraId="25AF6B2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其中：财政拨款</w:t>
            </w:r>
          </w:p>
        </w:tc>
        <w:tc>
          <w:tcPr>
            <w:tcW w:w="3681" w:type="dxa"/>
            <w:gridSpan w:val="2"/>
            <w:tcBorders>
              <w:top w:val="single" w:color="000000" w:sz="4" w:space="0"/>
              <w:left w:val="single" w:color="000000" w:sz="4" w:space="0"/>
              <w:bottom w:val="single" w:color="000000" w:sz="4" w:space="0"/>
              <w:right w:val="single" w:color="000000" w:sz="4" w:space="0"/>
            </w:tcBorders>
            <w:noWrap/>
            <w:vAlign w:val="center"/>
          </w:tcPr>
          <w:p w14:paraId="684F1BE3">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24.00 </w:t>
            </w:r>
          </w:p>
        </w:tc>
      </w:tr>
      <w:tr w14:paraId="414DDD6A">
        <w:tblPrEx>
          <w:tblCellMar>
            <w:top w:w="0" w:type="dxa"/>
            <w:left w:w="108" w:type="dxa"/>
            <w:bottom w:w="0" w:type="dxa"/>
            <w:right w:w="108" w:type="dxa"/>
          </w:tblCellMar>
        </w:tblPrEx>
        <w:trPr>
          <w:trHeight w:val="437" w:hRule="atLeast"/>
        </w:trPr>
        <w:tc>
          <w:tcPr>
            <w:tcW w:w="1674" w:type="dxa"/>
            <w:gridSpan w:val="2"/>
            <w:vMerge w:val="continue"/>
            <w:tcBorders>
              <w:top w:val="single" w:color="000000" w:sz="4" w:space="0"/>
              <w:left w:val="single" w:color="000000" w:sz="4" w:space="0"/>
              <w:bottom w:val="single" w:color="000000" w:sz="4" w:space="0"/>
              <w:right w:val="nil"/>
            </w:tcBorders>
            <w:noWrap/>
            <w:vAlign w:val="center"/>
          </w:tcPr>
          <w:p w14:paraId="64E5B73F">
            <w:pPr>
              <w:jc w:val="center"/>
              <w:rPr>
                <w:rFonts w:ascii="宋体" w:hAnsi="宋体" w:cs="宋体"/>
                <w:color w:val="000000"/>
                <w:sz w:val="20"/>
                <w:szCs w:val="20"/>
              </w:rPr>
            </w:pPr>
          </w:p>
        </w:tc>
        <w:tc>
          <w:tcPr>
            <w:tcW w:w="4005" w:type="dxa"/>
            <w:gridSpan w:val="2"/>
            <w:tcBorders>
              <w:top w:val="single" w:color="000000" w:sz="4" w:space="0"/>
              <w:left w:val="single" w:color="000000" w:sz="4" w:space="0"/>
              <w:bottom w:val="single" w:color="000000" w:sz="4" w:space="0"/>
              <w:right w:val="nil"/>
            </w:tcBorders>
            <w:noWrap/>
            <w:vAlign w:val="center"/>
          </w:tcPr>
          <w:p w14:paraId="2FDA002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其他资金</w:t>
            </w:r>
          </w:p>
        </w:tc>
        <w:tc>
          <w:tcPr>
            <w:tcW w:w="3681" w:type="dxa"/>
            <w:gridSpan w:val="2"/>
            <w:tcBorders>
              <w:top w:val="single" w:color="000000" w:sz="4" w:space="0"/>
              <w:left w:val="single" w:color="000000" w:sz="4" w:space="0"/>
              <w:bottom w:val="single" w:color="000000" w:sz="4" w:space="0"/>
              <w:right w:val="single" w:color="000000" w:sz="4" w:space="0"/>
            </w:tcBorders>
            <w:noWrap/>
            <w:vAlign w:val="center"/>
          </w:tcPr>
          <w:p w14:paraId="4FE09A32">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0.00 </w:t>
            </w:r>
          </w:p>
        </w:tc>
      </w:tr>
      <w:tr w14:paraId="48D5F745">
        <w:tblPrEx>
          <w:tblCellMar>
            <w:top w:w="0" w:type="dxa"/>
            <w:left w:w="108" w:type="dxa"/>
            <w:bottom w:w="0" w:type="dxa"/>
            <w:right w:w="108" w:type="dxa"/>
          </w:tblCellMar>
        </w:tblPrEx>
        <w:trPr>
          <w:trHeight w:val="1231" w:hRule="atLeast"/>
        </w:trPr>
        <w:tc>
          <w:tcPr>
            <w:tcW w:w="458" w:type="dxa"/>
            <w:tcBorders>
              <w:top w:val="single" w:color="000000" w:sz="4" w:space="0"/>
              <w:left w:val="single" w:color="000000" w:sz="4" w:space="0"/>
              <w:bottom w:val="single" w:color="000000" w:sz="4" w:space="0"/>
              <w:right w:val="nil"/>
            </w:tcBorders>
            <w:noWrap/>
            <w:vAlign w:val="center"/>
          </w:tcPr>
          <w:p w14:paraId="21EFC3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目标</w:t>
            </w:r>
          </w:p>
        </w:tc>
        <w:tc>
          <w:tcPr>
            <w:tcW w:w="8902" w:type="dxa"/>
            <w:gridSpan w:val="5"/>
            <w:tcBorders>
              <w:top w:val="single" w:color="000000" w:sz="4" w:space="0"/>
              <w:left w:val="single" w:color="000000" w:sz="4" w:space="0"/>
              <w:bottom w:val="single" w:color="000000" w:sz="4" w:space="0"/>
              <w:right w:val="single" w:color="000000" w:sz="4" w:space="0"/>
            </w:tcBorders>
            <w:noWrap/>
            <w:vAlign w:val="center"/>
          </w:tcPr>
          <w:p w14:paraId="2AC1BFF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进一步加强我市铁路无人看守道口的安全管理，会同市发展改革委、中国铁路上海局集团公司协同推进铁路道口“平改立”工作，落实铁路沿线安全环境隐患防范治理工作，防止发生安全事故，保护人民群众生命财产安全。</w:t>
            </w:r>
          </w:p>
        </w:tc>
      </w:tr>
      <w:tr w14:paraId="208CE398">
        <w:tblPrEx>
          <w:tblCellMar>
            <w:top w:w="0" w:type="dxa"/>
            <w:left w:w="108" w:type="dxa"/>
            <w:bottom w:w="0" w:type="dxa"/>
            <w:right w:w="108" w:type="dxa"/>
          </w:tblCellMar>
        </w:tblPrEx>
        <w:trPr>
          <w:trHeight w:val="90" w:hRule="atLeast"/>
        </w:trPr>
        <w:tc>
          <w:tcPr>
            <w:tcW w:w="458" w:type="dxa"/>
            <w:vMerge w:val="restart"/>
            <w:tcBorders>
              <w:top w:val="single" w:color="000000" w:sz="4" w:space="0"/>
              <w:left w:val="single" w:color="000000" w:sz="4" w:space="0"/>
              <w:bottom w:val="single" w:color="000000" w:sz="4" w:space="0"/>
              <w:right w:val="single" w:color="000000" w:sz="4" w:space="0"/>
            </w:tcBorders>
            <w:noWrap/>
            <w:vAlign w:val="center"/>
          </w:tcPr>
          <w:p w14:paraId="4E0F80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标</w:t>
            </w:r>
          </w:p>
        </w:tc>
        <w:tc>
          <w:tcPr>
            <w:tcW w:w="1216" w:type="dxa"/>
            <w:tcBorders>
              <w:top w:val="single" w:color="000000" w:sz="4" w:space="0"/>
              <w:left w:val="nil"/>
              <w:bottom w:val="single" w:color="000000" w:sz="4" w:space="0"/>
              <w:right w:val="nil"/>
            </w:tcBorders>
            <w:noWrap/>
            <w:vAlign w:val="center"/>
          </w:tcPr>
          <w:p w14:paraId="0ECD8F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指标</w:t>
            </w:r>
          </w:p>
        </w:tc>
        <w:tc>
          <w:tcPr>
            <w:tcW w:w="1515" w:type="dxa"/>
            <w:tcBorders>
              <w:top w:val="single" w:color="000000" w:sz="4" w:space="0"/>
              <w:left w:val="single" w:color="000000" w:sz="4" w:space="0"/>
              <w:bottom w:val="single" w:color="000000" w:sz="4" w:space="0"/>
              <w:right w:val="nil"/>
            </w:tcBorders>
            <w:noWrap/>
            <w:vAlign w:val="center"/>
          </w:tcPr>
          <w:p w14:paraId="57B1FB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2490" w:type="dxa"/>
            <w:tcBorders>
              <w:top w:val="single" w:color="000000" w:sz="4" w:space="0"/>
              <w:left w:val="single" w:color="000000" w:sz="4" w:space="0"/>
              <w:bottom w:val="single" w:color="000000" w:sz="4" w:space="0"/>
              <w:right w:val="nil"/>
            </w:tcBorders>
            <w:noWrap/>
            <w:vAlign w:val="center"/>
          </w:tcPr>
          <w:p w14:paraId="27B5A3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3681" w:type="dxa"/>
            <w:gridSpan w:val="2"/>
            <w:tcBorders>
              <w:top w:val="single" w:color="000000" w:sz="4" w:space="0"/>
              <w:left w:val="single" w:color="000000" w:sz="4" w:space="0"/>
              <w:bottom w:val="single" w:color="000000" w:sz="4" w:space="0"/>
              <w:right w:val="single" w:color="000000" w:sz="4" w:space="0"/>
            </w:tcBorders>
            <w:noWrap/>
            <w:vAlign w:val="center"/>
          </w:tcPr>
          <w:p w14:paraId="58E8B8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r>
      <w:tr w14:paraId="4D2C3AC9">
        <w:tblPrEx>
          <w:tblCellMar>
            <w:top w:w="0" w:type="dxa"/>
            <w:left w:w="108" w:type="dxa"/>
            <w:bottom w:w="0" w:type="dxa"/>
            <w:right w:w="108" w:type="dxa"/>
          </w:tblCellMar>
        </w:tblPrEx>
        <w:trPr>
          <w:trHeight w:val="474" w:hRule="atLeast"/>
        </w:trPr>
        <w:tc>
          <w:tcPr>
            <w:tcW w:w="458" w:type="dxa"/>
            <w:vMerge w:val="continue"/>
            <w:tcBorders>
              <w:top w:val="single" w:color="000000" w:sz="4" w:space="0"/>
              <w:left w:val="single" w:color="000000" w:sz="4" w:space="0"/>
              <w:bottom w:val="single" w:color="000000" w:sz="4" w:space="0"/>
              <w:right w:val="single" w:color="000000" w:sz="4" w:space="0"/>
            </w:tcBorders>
            <w:noWrap/>
            <w:vAlign w:val="center"/>
          </w:tcPr>
          <w:p w14:paraId="102D5FB8">
            <w:pPr>
              <w:jc w:val="center"/>
              <w:rPr>
                <w:rFonts w:ascii="宋体" w:hAnsi="宋体" w:cs="宋体"/>
                <w:color w:val="000000"/>
                <w:sz w:val="20"/>
                <w:szCs w:val="20"/>
              </w:rPr>
            </w:pPr>
          </w:p>
        </w:tc>
        <w:tc>
          <w:tcPr>
            <w:tcW w:w="1216" w:type="dxa"/>
            <w:vMerge w:val="restart"/>
            <w:tcBorders>
              <w:top w:val="single" w:color="000000" w:sz="4" w:space="0"/>
              <w:left w:val="nil"/>
              <w:bottom w:val="single" w:color="000000" w:sz="4" w:space="0"/>
              <w:right w:val="nil"/>
            </w:tcBorders>
            <w:noWrap/>
            <w:vAlign w:val="center"/>
          </w:tcPr>
          <w:p w14:paraId="7C2B14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515" w:type="dxa"/>
            <w:tcBorders>
              <w:top w:val="single" w:color="000000" w:sz="4" w:space="0"/>
              <w:left w:val="single" w:color="000000" w:sz="4" w:space="0"/>
              <w:bottom w:val="single" w:color="000000" w:sz="4" w:space="0"/>
              <w:right w:val="nil"/>
            </w:tcBorders>
            <w:noWrap/>
            <w:vAlign w:val="center"/>
          </w:tcPr>
          <w:p w14:paraId="155DF0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2490" w:type="dxa"/>
            <w:tcBorders>
              <w:top w:val="single" w:color="000000" w:sz="4" w:space="0"/>
              <w:left w:val="single" w:color="000000" w:sz="4" w:space="0"/>
              <w:bottom w:val="single" w:color="000000" w:sz="4" w:space="0"/>
              <w:right w:val="nil"/>
            </w:tcBorders>
            <w:noWrap/>
            <w:vAlign w:val="center"/>
          </w:tcPr>
          <w:p w14:paraId="2CDAA6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完成工作量</w:t>
            </w:r>
          </w:p>
        </w:tc>
        <w:tc>
          <w:tcPr>
            <w:tcW w:w="3681" w:type="dxa"/>
            <w:gridSpan w:val="2"/>
            <w:tcBorders>
              <w:top w:val="single" w:color="000000" w:sz="4" w:space="0"/>
              <w:left w:val="single" w:color="000000" w:sz="4" w:space="0"/>
              <w:bottom w:val="single" w:color="000000" w:sz="4" w:space="0"/>
              <w:right w:val="single" w:color="000000" w:sz="4" w:space="0"/>
            </w:tcBorders>
            <w:noWrap/>
            <w:vAlign w:val="center"/>
          </w:tcPr>
          <w:p w14:paraId="5B3AEE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工作完成情况</w:t>
            </w:r>
          </w:p>
        </w:tc>
      </w:tr>
      <w:tr w14:paraId="23F662B2">
        <w:tblPrEx>
          <w:tblCellMar>
            <w:top w:w="0" w:type="dxa"/>
            <w:left w:w="108" w:type="dxa"/>
            <w:bottom w:w="0" w:type="dxa"/>
            <w:right w:w="108" w:type="dxa"/>
          </w:tblCellMar>
        </w:tblPrEx>
        <w:trPr>
          <w:trHeight w:val="496" w:hRule="atLeast"/>
        </w:trPr>
        <w:tc>
          <w:tcPr>
            <w:tcW w:w="458" w:type="dxa"/>
            <w:vMerge w:val="continue"/>
            <w:tcBorders>
              <w:top w:val="single" w:color="000000" w:sz="4" w:space="0"/>
              <w:left w:val="single" w:color="000000" w:sz="4" w:space="0"/>
              <w:bottom w:val="single" w:color="000000" w:sz="4" w:space="0"/>
              <w:right w:val="single" w:color="000000" w:sz="4" w:space="0"/>
            </w:tcBorders>
            <w:noWrap/>
            <w:vAlign w:val="center"/>
          </w:tcPr>
          <w:p w14:paraId="464AAD20">
            <w:pPr>
              <w:jc w:val="center"/>
              <w:rPr>
                <w:rFonts w:ascii="宋体" w:hAnsi="宋体" w:cs="宋体"/>
                <w:color w:val="000000"/>
                <w:sz w:val="20"/>
                <w:szCs w:val="20"/>
              </w:rPr>
            </w:pPr>
          </w:p>
        </w:tc>
        <w:tc>
          <w:tcPr>
            <w:tcW w:w="1216" w:type="dxa"/>
            <w:vMerge w:val="continue"/>
            <w:tcBorders>
              <w:top w:val="single" w:color="000000" w:sz="4" w:space="0"/>
              <w:left w:val="nil"/>
              <w:bottom w:val="single" w:color="000000" w:sz="4" w:space="0"/>
              <w:right w:val="nil"/>
            </w:tcBorders>
            <w:noWrap/>
            <w:vAlign w:val="center"/>
          </w:tcPr>
          <w:p w14:paraId="3CF34FD1">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nil"/>
            </w:tcBorders>
            <w:noWrap/>
            <w:vAlign w:val="center"/>
          </w:tcPr>
          <w:p w14:paraId="2254EC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2490" w:type="dxa"/>
            <w:tcBorders>
              <w:top w:val="single" w:color="000000" w:sz="4" w:space="0"/>
              <w:left w:val="single" w:color="000000" w:sz="4" w:space="0"/>
              <w:bottom w:val="single" w:color="000000" w:sz="4" w:space="0"/>
              <w:right w:val="nil"/>
            </w:tcBorders>
            <w:noWrap/>
            <w:vAlign w:val="center"/>
          </w:tcPr>
          <w:p w14:paraId="602D64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安全监护管理工作</w:t>
            </w:r>
          </w:p>
        </w:tc>
        <w:tc>
          <w:tcPr>
            <w:tcW w:w="3681" w:type="dxa"/>
            <w:gridSpan w:val="2"/>
            <w:tcBorders>
              <w:top w:val="single" w:color="000000" w:sz="4" w:space="0"/>
              <w:left w:val="single" w:color="000000" w:sz="4" w:space="0"/>
              <w:bottom w:val="single" w:color="000000" w:sz="4" w:space="0"/>
              <w:right w:val="single" w:color="000000" w:sz="4" w:space="0"/>
            </w:tcBorders>
            <w:noWrap/>
            <w:vAlign w:val="center"/>
          </w:tcPr>
          <w:p w14:paraId="17B1D6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安全监护管理工作落实情况</w:t>
            </w:r>
          </w:p>
        </w:tc>
      </w:tr>
      <w:tr w14:paraId="5040D49A">
        <w:tblPrEx>
          <w:tblCellMar>
            <w:top w:w="0" w:type="dxa"/>
            <w:left w:w="108" w:type="dxa"/>
            <w:bottom w:w="0" w:type="dxa"/>
            <w:right w:w="108" w:type="dxa"/>
          </w:tblCellMar>
        </w:tblPrEx>
        <w:trPr>
          <w:trHeight w:val="541" w:hRule="atLeast"/>
        </w:trPr>
        <w:tc>
          <w:tcPr>
            <w:tcW w:w="458" w:type="dxa"/>
            <w:vMerge w:val="continue"/>
            <w:tcBorders>
              <w:top w:val="single" w:color="000000" w:sz="4" w:space="0"/>
              <w:left w:val="single" w:color="000000" w:sz="4" w:space="0"/>
              <w:bottom w:val="single" w:color="000000" w:sz="4" w:space="0"/>
              <w:right w:val="single" w:color="000000" w:sz="4" w:space="0"/>
            </w:tcBorders>
            <w:noWrap/>
            <w:vAlign w:val="center"/>
          </w:tcPr>
          <w:p w14:paraId="3ED9074F">
            <w:pPr>
              <w:jc w:val="center"/>
              <w:rPr>
                <w:rFonts w:ascii="宋体" w:hAnsi="宋体" w:cs="宋体"/>
                <w:color w:val="000000"/>
                <w:sz w:val="20"/>
                <w:szCs w:val="20"/>
              </w:rPr>
            </w:pPr>
          </w:p>
        </w:tc>
        <w:tc>
          <w:tcPr>
            <w:tcW w:w="1216" w:type="dxa"/>
            <w:vMerge w:val="continue"/>
            <w:tcBorders>
              <w:top w:val="single" w:color="000000" w:sz="4" w:space="0"/>
              <w:left w:val="nil"/>
              <w:bottom w:val="single" w:color="000000" w:sz="4" w:space="0"/>
              <w:right w:val="nil"/>
            </w:tcBorders>
            <w:noWrap/>
            <w:vAlign w:val="center"/>
          </w:tcPr>
          <w:p w14:paraId="2DA371A1">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nil"/>
            </w:tcBorders>
            <w:noWrap/>
            <w:vAlign w:val="center"/>
          </w:tcPr>
          <w:p w14:paraId="7C3833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2490" w:type="dxa"/>
            <w:tcBorders>
              <w:top w:val="single" w:color="000000" w:sz="4" w:space="0"/>
              <w:left w:val="single" w:color="000000" w:sz="4" w:space="0"/>
              <w:bottom w:val="single" w:color="000000" w:sz="4" w:space="0"/>
              <w:right w:val="nil"/>
            </w:tcBorders>
            <w:noWrap/>
            <w:vAlign w:val="center"/>
          </w:tcPr>
          <w:p w14:paraId="588F8C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经费支出时效性</w:t>
            </w:r>
          </w:p>
        </w:tc>
        <w:tc>
          <w:tcPr>
            <w:tcW w:w="3681" w:type="dxa"/>
            <w:gridSpan w:val="2"/>
            <w:tcBorders>
              <w:top w:val="single" w:color="000000" w:sz="4" w:space="0"/>
              <w:left w:val="single" w:color="000000" w:sz="4" w:space="0"/>
              <w:bottom w:val="single" w:color="000000" w:sz="4" w:space="0"/>
              <w:right w:val="single" w:color="000000" w:sz="4" w:space="0"/>
            </w:tcBorders>
            <w:noWrap/>
            <w:vAlign w:val="center"/>
          </w:tcPr>
          <w:p w14:paraId="7AF9CD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经费支出按照计划时间支付</w:t>
            </w:r>
          </w:p>
        </w:tc>
      </w:tr>
      <w:tr w14:paraId="588AD95A">
        <w:tblPrEx>
          <w:tblCellMar>
            <w:top w:w="0" w:type="dxa"/>
            <w:left w:w="108" w:type="dxa"/>
            <w:bottom w:w="0" w:type="dxa"/>
            <w:right w:w="108" w:type="dxa"/>
          </w:tblCellMar>
        </w:tblPrEx>
        <w:trPr>
          <w:trHeight w:val="359" w:hRule="atLeast"/>
        </w:trPr>
        <w:tc>
          <w:tcPr>
            <w:tcW w:w="458" w:type="dxa"/>
            <w:vMerge w:val="continue"/>
            <w:tcBorders>
              <w:top w:val="single" w:color="000000" w:sz="4" w:space="0"/>
              <w:left w:val="single" w:color="000000" w:sz="4" w:space="0"/>
              <w:bottom w:val="single" w:color="000000" w:sz="4" w:space="0"/>
              <w:right w:val="single" w:color="000000" w:sz="4" w:space="0"/>
            </w:tcBorders>
            <w:noWrap/>
            <w:vAlign w:val="center"/>
          </w:tcPr>
          <w:p w14:paraId="02F06F67">
            <w:pPr>
              <w:jc w:val="center"/>
              <w:rPr>
                <w:rFonts w:ascii="宋体" w:hAnsi="宋体" w:cs="宋体"/>
                <w:color w:val="000000"/>
                <w:sz w:val="20"/>
                <w:szCs w:val="20"/>
              </w:rPr>
            </w:pPr>
          </w:p>
        </w:tc>
        <w:tc>
          <w:tcPr>
            <w:tcW w:w="1216" w:type="dxa"/>
            <w:vMerge w:val="continue"/>
            <w:tcBorders>
              <w:top w:val="single" w:color="000000" w:sz="4" w:space="0"/>
              <w:left w:val="nil"/>
              <w:bottom w:val="single" w:color="000000" w:sz="4" w:space="0"/>
              <w:right w:val="nil"/>
            </w:tcBorders>
            <w:noWrap/>
            <w:vAlign w:val="center"/>
          </w:tcPr>
          <w:p w14:paraId="1BAD91FC">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nil"/>
            </w:tcBorders>
            <w:noWrap/>
            <w:vAlign w:val="center"/>
          </w:tcPr>
          <w:p w14:paraId="3775F9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2490" w:type="dxa"/>
            <w:tcBorders>
              <w:top w:val="single" w:color="000000" w:sz="4" w:space="0"/>
              <w:left w:val="single" w:color="000000" w:sz="4" w:space="0"/>
              <w:bottom w:val="single" w:color="000000" w:sz="4" w:space="0"/>
              <w:right w:val="nil"/>
            </w:tcBorders>
            <w:noWrap/>
            <w:vAlign w:val="center"/>
          </w:tcPr>
          <w:p w14:paraId="066FA2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道口安全监管经费开支</w:t>
            </w:r>
          </w:p>
        </w:tc>
        <w:tc>
          <w:tcPr>
            <w:tcW w:w="3681" w:type="dxa"/>
            <w:gridSpan w:val="2"/>
            <w:tcBorders>
              <w:top w:val="single" w:color="000000" w:sz="4" w:space="0"/>
              <w:left w:val="single" w:color="000000" w:sz="4" w:space="0"/>
              <w:bottom w:val="single" w:color="000000" w:sz="4" w:space="0"/>
              <w:right w:val="single" w:color="000000" w:sz="4" w:space="0"/>
            </w:tcBorders>
            <w:noWrap/>
            <w:vAlign w:val="center"/>
          </w:tcPr>
          <w:p w14:paraId="34CE27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24万元</w:t>
            </w:r>
          </w:p>
        </w:tc>
      </w:tr>
      <w:tr w14:paraId="6E2AF4B1">
        <w:tblPrEx>
          <w:tblCellMar>
            <w:top w:w="0" w:type="dxa"/>
            <w:left w:w="108" w:type="dxa"/>
            <w:bottom w:w="0" w:type="dxa"/>
            <w:right w:w="108" w:type="dxa"/>
          </w:tblCellMar>
        </w:tblPrEx>
        <w:trPr>
          <w:trHeight w:val="396" w:hRule="atLeast"/>
        </w:trPr>
        <w:tc>
          <w:tcPr>
            <w:tcW w:w="458" w:type="dxa"/>
            <w:vMerge w:val="continue"/>
            <w:tcBorders>
              <w:top w:val="single" w:color="000000" w:sz="4" w:space="0"/>
              <w:left w:val="single" w:color="000000" w:sz="4" w:space="0"/>
              <w:bottom w:val="single" w:color="000000" w:sz="4" w:space="0"/>
              <w:right w:val="single" w:color="000000" w:sz="4" w:space="0"/>
            </w:tcBorders>
            <w:noWrap/>
            <w:vAlign w:val="center"/>
          </w:tcPr>
          <w:p w14:paraId="7C96A05B">
            <w:pPr>
              <w:jc w:val="center"/>
              <w:rPr>
                <w:rFonts w:ascii="宋体" w:hAnsi="宋体" w:cs="宋体"/>
                <w:color w:val="000000"/>
                <w:sz w:val="20"/>
                <w:szCs w:val="20"/>
              </w:rPr>
            </w:pPr>
          </w:p>
        </w:tc>
        <w:tc>
          <w:tcPr>
            <w:tcW w:w="1216" w:type="dxa"/>
            <w:vMerge w:val="restart"/>
            <w:tcBorders>
              <w:top w:val="single" w:color="000000" w:sz="4" w:space="0"/>
              <w:left w:val="nil"/>
              <w:bottom w:val="single" w:color="000000" w:sz="4" w:space="0"/>
              <w:right w:val="nil"/>
            </w:tcBorders>
            <w:noWrap/>
            <w:vAlign w:val="center"/>
          </w:tcPr>
          <w:p w14:paraId="79D484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515" w:type="dxa"/>
            <w:tcBorders>
              <w:top w:val="single" w:color="000000" w:sz="4" w:space="0"/>
              <w:left w:val="single" w:color="000000" w:sz="4" w:space="0"/>
              <w:bottom w:val="single" w:color="000000" w:sz="4" w:space="0"/>
              <w:right w:val="nil"/>
            </w:tcBorders>
            <w:noWrap/>
            <w:vAlign w:val="center"/>
          </w:tcPr>
          <w:p w14:paraId="21D560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经济效益指标</w:t>
            </w:r>
          </w:p>
        </w:tc>
        <w:tc>
          <w:tcPr>
            <w:tcW w:w="2490" w:type="dxa"/>
            <w:tcBorders>
              <w:top w:val="single" w:color="000000" w:sz="4" w:space="0"/>
              <w:left w:val="single" w:color="000000" w:sz="4" w:space="0"/>
              <w:bottom w:val="single" w:color="000000" w:sz="4" w:space="0"/>
              <w:right w:val="nil"/>
            </w:tcBorders>
            <w:noWrap/>
            <w:vAlign w:val="center"/>
          </w:tcPr>
          <w:p w14:paraId="2F0C65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对我市经济发展的提升</w:t>
            </w:r>
          </w:p>
        </w:tc>
        <w:tc>
          <w:tcPr>
            <w:tcW w:w="3681" w:type="dxa"/>
            <w:gridSpan w:val="2"/>
            <w:tcBorders>
              <w:top w:val="single" w:color="000000" w:sz="4" w:space="0"/>
              <w:left w:val="single" w:color="000000" w:sz="4" w:space="0"/>
              <w:bottom w:val="single" w:color="000000" w:sz="4" w:space="0"/>
              <w:right w:val="single" w:color="000000" w:sz="4" w:space="0"/>
            </w:tcBorders>
            <w:noWrap/>
            <w:vAlign w:val="center"/>
          </w:tcPr>
          <w:p w14:paraId="42A42F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促进我市经济发展</w:t>
            </w:r>
          </w:p>
        </w:tc>
      </w:tr>
      <w:tr w14:paraId="53865F9D">
        <w:tblPrEx>
          <w:tblCellMar>
            <w:top w:w="0" w:type="dxa"/>
            <w:left w:w="108" w:type="dxa"/>
            <w:bottom w:w="0" w:type="dxa"/>
            <w:right w:w="108" w:type="dxa"/>
          </w:tblCellMar>
        </w:tblPrEx>
        <w:trPr>
          <w:trHeight w:val="548" w:hRule="atLeast"/>
        </w:trPr>
        <w:tc>
          <w:tcPr>
            <w:tcW w:w="458" w:type="dxa"/>
            <w:vMerge w:val="continue"/>
            <w:tcBorders>
              <w:top w:val="single" w:color="000000" w:sz="4" w:space="0"/>
              <w:left w:val="single" w:color="000000" w:sz="4" w:space="0"/>
              <w:bottom w:val="single" w:color="000000" w:sz="4" w:space="0"/>
              <w:right w:val="single" w:color="000000" w:sz="4" w:space="0"/>
            </w:tcBorders>
            <w:noWrap/>
            <w:vAlign w:val="center"/>
          </w:tcPr>
          <w:p w14:paraId="03F07FFE">
            <w:pPr>
              <w:jc w:val="center"/>
              <w:rPr>
                <w:rFonts w:ascii="宋体" w:hAnsi="宋体" w:cs="宋体"/>
                <w:color w:val="000000"/>
                <w:sz w:val="20"/>
                <w:szCs w:val="20"/>
              </w:rPr>
            </w:pPr>
          </w:p>
        </w:tc>
        <w:tc>
          <w:tcPr>
            <w:tcW w:w="1216" w:type="dxa"/>
            <w:vMerge w:val="continue"/>
            <w:tcBorders>
              <w:top w:val="single" w:color="000000" w:sz="4" w:space="0"/>
              <w:left w:val="nil"/>
              <w:bottom w:val="single" w:color="000000" w:sz="4" w:space="0"/>
              <w:right w:val="nil"/>
            </w:tcBorders>
            <w:noWrap/>
            <w:vAlign w:val="center"/>
          </w:tcPr>
          <w:p w14:paraId="7D6CBD0A">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nil"/>
            </w:tcBorders>
            <w:noWrap/>
            <w:vAlign w:val="center"/>
          </w:tcPr>
          <w:p w14:paraId="70D5F7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社会效益指标</w:t>
            </w:r>
          </w:p>
        </w:tc>
        <w:tc>
          <w:tcPr>
            <w:tcW w:w="2490" w:type="dxa"/>
            <w:tcBorders>
              <w:top w:val="single" w:color="000000" w:sz="4" w:space="0"/>
              <w:left w:val="single" w:color="000000" w:sz="4" w:space="0"/>
              <w:bottom w:val="single" w:color="000000" w:sz="4" w:space="0"/>
              <w:right w:val="nil"/>
            </w:tcBorders>
            <w:noWrap/>
            <w:vAlign w:val="center"/>
          </w:tcPr>
          <w:p w14:paraId="73C7A9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促进道口监护管理工作</w:t>
            </w:r>
          </w:p>
        </w:tc>
        <w:tc>
          <w:tcPr>
            <w:tcW w:w="3681" w:type="dxa"/>
            <w:gridSpan w:val="2"/>
            <w:tcBorders>
              <w:top w:val="single" w:color="000000" w:sz="4" w:space="0"/>
              <w:left w:val="single" w:color="000000" w:sz="4" w:space="0"/>
              <w:bottom w:val="single" w:color="000000" w:sz="4" w:space="0"/>
              <w:right w:val="single" w:color="000000" w:sz="4" w:space="0"/>
            </w:tcBorders>
            <w:noWrap/>
            <w:vAlign w:val="center"/>
          </w:tcPr>
          <w:p w14:paraId="75DD8E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促进道口监护管理工作，提高监护的铁路无人看守道路的安全。</w:t>
            </w:r>
          </w:p>
        </w:tc>
      </w:tr>
      <w:tr w14:paraId="3274232A">
        <w:tblPrEx>
          <w:tblCellMar>
            <w:top w:w="0" w:type="dxa"/>
            <w:left w:w="108" w:type="dxa"/>
            <w:bottom w:w="0" w:type="dxa"/>
            <w:right w:w="108" w:type="dxa"/>
          </w:tblCellMar>
        </w:tblPrEx>
        <w:trPr>
          <w:trHeight w:val="526" w:hRule="atLeast"/>
        </w:trPr>
        <w:tc>
          <w:tcPr>
            <w:tcW w:w="458" w:type="dxa"/>
            <w:vMerge w:val="continue"/>
            <w:tcBorders>
              <w:top w:val="single" w:color="000000" w:sz="4" w:space="0"/>
              <w:left w:val="single" w:color="000000" w:sz="4" w:space="0"/>
              <w:bottom w:val="single" w:color="000000" w:sz="4" w:space="0"/>
              <w:right w:val="single" w:color="000000" w:sz="4" w:space="0"/>
            </w:tcBorders>
            <w:noWrap/>
            <w:vAlign w:val="center"/>
          </w:tcPr>
          <w:p w14:paraId="616BD241">
            <w:pPr>
              <w:jc w:val="center"/>
              <w:rPr>
                <w:rFonts w:ascii="宋体" w:hAnsi="宋体" w:cs="宋体"/>
                <w:color w:val="000000"/>
                <w:sz w:val="20"/>
                <w:szCs w:val="20"/>
              </w:rPr>
            </w:pPr>
          </w:p>
        </w:tc>
        <w:tc>
          <w:tcPr>
            <w:tcW w:w="1216" w:type="dxa"/>
            <w:vMerge w:val="continue"/>
            <w:tcBorders>
              <w:top w:val="single" w:color="000000" w:sz="4" w:space="0"/>
              <w:left w:val="nil"/>
              <w:bottom w:val="single" w:color="000000" w:sz="4" w:space="0"/>
              <w:right w:val="nil"/>
            </w:tcBorders>
            <w:noWrap/>
            <w:vAlign w:val="center"/>
          </w:tcPr>
          <w:p w14:paraId="0551A633">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nil"/>
            </w:tcBorders>
            <w:noWrap/>
            <w:vAlign w:val="center"/>
          </w:tcPr>
          <w:p w14:paraId="20619A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生态效益指标</w:t>
            </w:r>
          </w:p>
        </w:tc>
        <w:tc>
          <w:tcPr>
            <w:tcW w:w="2490" w:type="dxa"/>
            <w:tcBorders>
              <w:top w:val="single" w:color="000000" w:sz="4" w:space="0"/>
              <w:left w:val="single" w:color="000000" w:sz="4" w:space="0"/>
              <w:bottom w:val="single" w:color="000000" w:sz="4" w:space="0"/>
              <w:right w:val="nil"/>
            </w:tcBorders>
            <w:noWrap/>
            <w:vAlign w:val="center"/>
          </w:tcPr>
          <w:p w14:paraId="40DFE0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生态效益指标</w:t>
            </w:r>
          </w:p>
        </w:tc>
        <w:tc>
          <w:tcPr>
            <w:tcW w:w="3681" w:type="dxa"/>
            <w:gridSpan w:val="2"/>
            <w:tcBorders>
              <w:top w:val="single" w:color="000000" w:sz="4" w:space="0"/>
              <w:left w:val="single" w:color="000000" w:sz="4" w:space="0"/>
              <w:bottom w:val="single" w:color="000000" w:sz="4" w:space="0"/>
              <w:right w:val="single" w:color="000000" w:sz="4" w:space="0"/>
            </w:tcBorders>
            <w:noWrap/>
            <w:vAlign w:val="center"/>
          </w:tcPr>
          <w:p w14:paraId="5B37F3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不适用</w:t>
            </w:r>
          </w:p>
        </w:tc>
      </w:tr>
      <w:tr w14:paraId="298D03D7">
        <w:tblPrEx>
          <w:tblCellMar>
            <w:top w:w="0" w:type="dxa"/>
            <w:left w:w="108" w:type="dxa"/>
            <w:bottom w:w="0" w:type="dxa"/>
            <w:right w:w="108" w:type="dxa"/>
          </w:tblCellMar>
        </w:tblPrEx>
        <w:trPr>
          <w:trHeight w:val="774" w:hRule="atLeast"/>
        </w:trPr>
        <w:tc>
          <w:tcPr>
            <w:tcW w:w="458" w:type="dxa"/>
            <w:vMerge w:val="continue"/>
            <w:tcBorders>
              <w:top w:val="single" w:color="000000" w:sz="4" w:space="0"/>
              <w:left w:val="single" w:color="000000" w:sz="4" w:space="0"/>
              <w:bottom w:val="single" w:color="000000" w:sz="4" w:space="0"/>
              <w:right w:val="single" w:color="000000" w:sz="4" w:space="0"/>
            </w:tcBorders>
            <w:noWrap/>
            <w:vAlign w:val="center"/>
          </w:tcPr>
          <w:p w14:paraId="2E9B87E3">
            <w:pPr>
              <w:jc w:val="center"/>
              <w:rPr>
                <w:rFonts w:ascii="宋体" w:hAnsi="宋体" w:cs="宋体"/>
                <w:color w:val="000000"/>
                <w:sz w:val="20"/>
                <w:szCs w:val="20"/>
              </w:rPr>
            </w:pPr>
          </w:p>
        </w:tc>
        <w:tc>
          <w:tcPr>
            <w:tcW w:w="1216" w:type="dxa"/>
            <w:vMerge w:val="continue"/>
            <w:tcBorders>
              <w:top w:val="single" w:color="000000" w:sz="4" w:space="0"/>
              <w:left w:val="nil"/>
              <w:bottom w:val="single" w:color="000000" w:sz="4" w:space="0"/>
              <w:right w:val="nil"/>
            </w:tcBorders>
            <w:noWrap/>
            <w:vAlign w:val="center"/>
          </w:tcPr>
          <w:p w14:paraId="037AFF0C">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nil"/>
            </w:tcBorders>
            <w:noWrap/>
            <w:vAlign w:val="center"/>
          </w:tcPr>
          <w:p w14:paraId="57744C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可持续影响指标</w:t>
            </w:r>
          </w:p>
        </w:tc>
        <w:tc>
          <w:tcPr>
            <w:tcW w:w="2490" w:type="dxa"/>
            <w:tcBorders>
              <w:top w:val="single" w:color="000000" w:sz="4" w:space="0"/>
              <w:left w:val="single" w:color="000000" w:sz="4" w:space="0"/>
              <w:bottom w:val="single" w:color="000000" w:sz="4" w:space="0"/>
              <w:right w:val="nil"/>
            </w:tcBorders>
            <w:noWrap/>
            <w:vAlign w:val="center"/>
          </w:tcPr>
          <w:p w14:paraId="0D0AFA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持续助力道口监护管理工作</w:t>
            </w:r>
          </w:p>
        </w:tc>
        <w:tc>
          <w:tcPr>
            <w:tcW w:w="3681" w:type="dxa"/>
            <w:gridSpan w:val="2"/>
            <w:tcBorders>
              <w:top w:val="single" w:color="000000" w:sz="4" w:space="0"/>
              <w:left w:val="single" w:color="000000" w:sz="4" w:space="0"/>
              <w:bottom w:val="single" w:color="000000" w:sz="4" w:space="0"/>
              <w:right w:val="single" w:color="000000" w:sz="4" w:space="0"/>
            </w:tcBorders>
            <w:noWrap/>
            <w:vAlign w:val="center"/>
          </w:tcPr>
          <w:p w14:paraId="1E9AF8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提高监护的铁路无人看守道路的安全。</w:t>
            </w:r>
          </w:p>
        </w:tc>
      </w:tr>
      <w:tr w14:paraId="06D1BF25">
        <w:tblPrEx>
          <w:tblCellMar>
            <w:top w:w="0" w:type="dxa"/>
            <w:left w:w="108" w:type="dxa"/>
            <w:bottom w:w="0" w:type="dxa"/>
            <w:right w:w="108" w:type="dxa"/>
          </w:tblCellMar>
        </w:tblPrEx>
        <w:trPr>
          <w:trHeight w:val="756" w:hRule="atLeast"/>
        </w:trPr>
        <w:tc>
          <w:tcPr>
            <w:tcW w:w="458" w:type="dxa"/>
            <w:vMerge w:val="continue"/>
            <w:tcBorders>
              <w:top w:val="single" w:color="000000" w:sz="4" w:space="0"/>
              <w:left w:val="single" w:color="000000" w:sz="4" w:space="0"/>
              <w:bottom w:val="single" w:color="000000" w:sz="4" w:space="0"/>
              <w:right w:val="single" w:color="000000" w:sz="4" w:space="0"/>
            </w:tcBorders>
            <w:noWrap/>
            <w:vAlign w:val="center"/>
          </w:tcPr>
          <w:p w14:paraId="1E9E946D">
            <w:pPr>
              <w:jc w:val="center"/>
              <w:rPr>
                <w:rFonts w:ascii="宋体" w:hAnsi="宋体" w:cs="宋体"/>
                <w:color w:val="000000"/>
                <w:sz w:val="20"/>
                <w:szCs w:val="20"/>
              </w:rPr>
            </w:pPr>
          </w:p>
        </w:tc>
        <w:tc>
          <w:tcPr>
            <w:tcW w:w="1216" w:type="dxa"/>
            <w:tcBorders>
              <w:top w:val="single" w:color="000000" w:sz="4" w:space="0"/>
              <w:left w:val="nil"/>
              <w:bottom w:val="single" w:color="000000" w:sz="4" w:space="0"/>
              <w:right w:val="nil"/>
            </w:tcBorders>
            <w:noWrap/>
            <w:vAlign w:val="center"/>
          </w:tcPr>
          <w:p w14:paraId="7951BF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515" w:type="dxa"/>
            <w:tcBorders>
              <w:top w:val="single" w:color="000000" w:sz="4" w:space="0"/>
              <w:left w:val="single" w:color="000000" w:sz="4" w:space="0"/>
              <w:bottom w:val="single" w:color="000000" w:sz="4" w:space="0"/>
              <w:right w:val="nil"/>
            </w:tcBorders>
            <w:noWrap/>
            <w:vAlign w:val="center"/>
          </w:tcPr>
          <w:p w14:paraId="7B61BD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2490" w:type="dxa"/>
            <w:tcBorders>
              <w:top w:val="single" w:color="000000" w:sz="4" w:space="0"/>
              <w:left w:val="single" w:color="000000" w:sz="4" w:space="0"/>
              <w:bottom w:val="single" w:color="000000" w:sz="4" w:space="0"/>
              <w:right w:val="nil"/>
            </w:tcBorders>
            <w:noWrap/>
            <w:vAlign w:val="center"/>
          </w:tcPr>
          <w:p w14:paraId="036124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项目的社会满意度</w:t>
            </w:r>
          </w:p>
        </w:tc>
        <w:tc>
          <w:tcPr>
            <w:tcW w:w="3681" w:type="dxa"/>
            <w:gridSpan w:val="2"/>
            <w:tcBorders>
              <w:top w:val="single" w:color="000000" w:sz="4" w:space="0"/>
              <w:left w:val="single" w:color="000000" w:sz="4" w:space="0"/>
              <w:bottom w:val="single" w:color="000000" w:sz="4" w:space="0"/>
              <w:right w:val="single" w:color="000000" w:sz="4" w:space="0"/>
            </w:tcBorders>
            <w:noWrap/>
            <w:vAlign w:val="center"/>
          </w:tcPr>
          <w:p w14:paraId="20506E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r>
    </w:tbl>
    <w:p w14:paraId="1EF66E2F">
      <w:pPr>
        <w:adjustRightInd w:val="0"/>
        <w:snapToGrid w:val="0"/>
        <w:spacing w:line="600" w:lineRule="exact"/>
        <w:ind w:firstLine="640" w:firstLineChars="200"/>
        <w:rPr>
          <w:rFonts w:eastAsia="仿宋_GB2312"/>
          <w:b/>
          <w:sz w:val="32"/>
          <w:szCs w:val="32"/>
        </w:rPr>
      </w:pPr>
      <w:r>
        <w:rPr>
          <w:rFonts w:hint="eastAsia" w:eastAsia="仿宋_GB2312"/>
          <w:b/>
          <w:sz w:val="32"/>
          <w:szCs w:val="32"/>
        </w:rPr>
        <w:t>（二）</w:t>
      </w:r>
      <w:r>
        <w:rPr>
          <w:rFonts w:eastAsia="仿宋_GB2312"/>
          <w:b/>
          <w:sz w:val="32"/>
          <w:szCs w:val="32"/>
        </w:rPr>
        <w:t>机关运行经费</w:t>
      </w:r>
    </w:p>
    <w:p w14:paraId="01AB0F7F">
      <w:pPr>
        <w:adjustRightInd w:val="0"/>
        <w:snapToGrid w:val="0"/>
        <w:spacing w:line="600" w:lineRule="exact"/>
        <w:ind w:firstLine="640" w:firstLineChars="200"/>
        <w:rPr>
          <w:rFonts w:eastAsia="仿宋_GB2312"/>
          <w:sz w:val="32"/>
          <w:szCs w:val="32"/>
        </w:rPr>
      </w:pPr>
      <w:r>
        <w:rPr>
          <w:rFonts w:hint="eastAsia" w:eastAsia="仿宋_GB2312"/>
          <w:sz w:val="32"/>
          <w:szCs w:val="32"/>
        </w:rPr>
        <w:t>黄山市经济和信息化局</w:t>
      </w:r>
      <w:r>
        <w:rPr>
          <w:rFonts w:eastAsia="仿宋_GB2312"/>
          <w:sz w:val="32"/>
          <w:szCs w:val="32"/>
        </w:rPr>
        <w:t>2024年机关运行经费财政拨款预算</w:t>
      </w:r>
      <w:r>
        <w:rPr>
          <w:rFonts w:hint="eastAsia" w:eastAsia="仿宋_GB2312"/>
          <w:sz w:val="32"/>
          <w:szCs w:val="32"/>
        </w:rPr>
        <w:t>55.07</w:t>
      </w:r>
      <w:r>
        <w:rPr>
          <w:rFonts w:eastAsia="仿宋_GB2312"/>
          <w:sz w:val="32"/>
          <w:szCs w:val="32"/>
        </w:rPr>
        <w:t>万元，比</w:t>
      </w:r>
      <w:r>
        <w:rPr>
          <w:rFonts w:hint="eastAsia" w:eastAsia="仿宋_GB2312"/>
          <w:sz w:val="32"/>
          <w:szCs w:val="32"/>
        </w:rPr>
        <w:t>2023</w:t>
      </w:r>
      <w:r>
        <w:rPr>
          <w:rFonts w:eastAsia="仿宋_GB2312"/>
          <w:sz w:val="32"/>
          <w:szCs w:val="32"/>
        </w:rPr>
        <w:t>年预算增加</w:t>
      </w:r>
      <w:r>
        <w:rPr>
          <w:rFonts w:hint="eastAsia" w:eastAsia="仿宋_GB2312"/>
          <w:sz w:val="32"/>
          <w:szCs w:val="32"/>
        </w:rPr>
        <w:t>4.4</w:t>
      </w:r>
      <w:r>
        <w:rPr>
          <w:rFonts w:eastAsia="仿宋_GB2312"/>
          <w:sz w:val="32"/>
          <w:szCs w:val="32"/>
        </w:rPr>
        <w:t>万元，增长</w:t>
      </w:r>
      <w:r>
        <w:rPr>
          <w:rFonts w:hint="eastAsia" w:eastAsia="仿宋_GB2312"/>
          <w:sz w:val="32"/>
          <w:szCs w:val="32"/>
        </w:rPr>
        <w:t>8.7</w:t>
      </w:r>
      <w:r>
        <w:rPr>
          <w:rFonts w:eastAsia="仿宋_GB2312"/>
          <w:sz w:val="32"/>
          <w:szCs w:val="32"/>
        </w:rPr>
        <w:t>%，增长主要原因是</w:t>
      </w:r>
      <w:r>
        <w:rPr>
          <w:rFonts w:hint="eastAsia" w:eastAsia="仿宋_GB2312"/>
          <w:sz w:val="32"/>
          <w:szCs w:val="32"/>
        </w:rPr>
        <w:t>机关</w:t>
      </w:r>
      <w:r>
        <w:rPr>
          <w:rFonts w:eastAsia="仿宋_GB2312"/>
          <w:sz w:val="32"/>
          <w:szCs w:val="32"/>
        </w:rPr>
        <w:t>日常运转办公</w:t>
      </w:r>
      <w:r>
        <w:rPr>
          <w:rFonts w:hint="eastAsia" w:eastAsia="仿宋_GB2312"/>
          <w:sz w:val="32"/>
          <w:szCs w:val="32"/>
        </w:rPr>
        <w:t>经费</w:t>
      </w:r>
      <w:r>
        <w:rPr>
          <w:rFonts w:eastAsia="仿宋_GB2312"/>
          <w:sz w:val="32"/>
          <w:szCs w:val="32"/>
        </w:rPr>
        <w:t>等运行支出</w:t>
      </w:r>
      <w:r>
        <w:rPr>
          <w:rFonts w:hint="eastAsia" w:eastAsia="仿宋_GB2312"/>
          <w:sz w:val="32"/>
          <w:szCs w:val="32"/>
        </w:rPr>
        <w:t>增加</w:t>
      </w:r>
      <w:r>
        <w:rPr>
          <w:rFonts w:eastAsia="仿宋_GB2312"/>
          <w:sz w:val="32"/>
          <w:szCs w:val="32"/>
        </w:rPr>
        <w:t>。</w:t>
      </w:r>
    </w:p>
    <w:p w14:paraId="3A541A34">
      <w:pPr>
        <w:adjustRightInd w:val="0"/>
        <w:snapToGrid w:val="0"/>
        <w:spacing w:line="600" w:lineRule="exact"/>
        <w:ind w:firstLine="640" w:firstLineChars="200"/>
        <w:rPr>
          <w:rFonts w:eastAsia="仿宋_GB2312"/>
          <w:b/>
          <w:sz w:val="32"/>
          <w:szCs w:val="32"/>
        </w:rPr>
      </w:pPr>
      <w:r>
        <w:rPr>
          <w:rFonts w:eastAsia="仿宋_GB2312"/>
          <w:b/>
          <w:sz w:val="32"/>
          <w:szCs w:val="32"/>
        </w:rPr>
        <w:t>（三）政府采购情况</w:t>
      </w:r>
    </w:p>
    <w:p w14:paraId="4F1C0EE9">
      <w:pPr>
        <w:pStyle w:val="17"/>
      </w:pPr>
      <w:r>
        <w:t>黄山市</w:t>
      </w:r>
      <w:r>
        <w:rPr>
          <w:rFonts w:hint="eastAsia"/>
        </w:rPr>
        <w:t>经济和信息化局</w:t>
      </w:r>
      <w:r>
        <w:t>2024年</w:t>
      </w:r>
      <w:r>
        <w:rPr>
          <w:rFonts w:hint="eastAsia"/>
        </w:rPr>
        <w:t>（各）单位政府采购预算总额1.5万元。其中：政府采购货物预算1.5万元，政府采购工程预算0万元，政府采购服务预算0万元。</w:t>
      </w:r>
    </w:p>
    <w:p w14:paraId="7A8D3C44">
      <w:pPr>
        <w:adjustRightInd w:val="0"/>
        <w:snapToGrid w:val="0"/>
        <w:spacing w:line="600" w:lineRule="exact"/>
        <w:ind w:firstLine="640" w:firstLineChars="200"/>
        <w:rPr>
          <w:rFonts w:eastAsia="仿宋_GB2312"/>
          <w:b/>
          <w:sz w:val="32"/>
          <w:szCs w:val="32"/>
        </w:rPr>
      </w:pPr>
      <w:r>
        <w:rPr>
          <w:rFonts w:eastAsia="仿宋_GB2312"/>
          <w:b/>
          <w:sz w:val="32"/>
          <w:szCs w:val="32"/>
        </w:rPr>
        <w:t>（四）国有资产占有使用情况</w:t>
      </w:r>
    </w:p>
    <w:p w14:paraId="6ECE5220">
      <w:pPr>
        <w:pStyle w:val="17"/>
      </w:pPr>
      <w:r>
        <w:t>截至2023</w:t>
      </w:r>
      <w:r>
        <w:rPr>
          <w:rFonts w:hint="eastAsia"/>
        </w:rPr>
        <w:t>年</w:t>
      </w:r>
      <w:r>
        <w:t>12月31日，黄山市</w:t>
      </w:r>
      <w:r>
        <w:rPr>
          <w:rFonts w:hint="eastAsia"/>
        </w:rPr>
        <w:t>经济和信息化局</w:t>
      </w:r>
      <w:r>
        <w:t>固定资产总金额</w:t>
      </w:r>
      <w:r>
        <w:rPr>
          <w:rFonts w:hint="eastAsia" w:ascii="仿宋" w:hAnsi="仿宋" w:eastAsia="仿宋"/>
        </w:rPr>
        <w:t>40.42</w:t>
      </w:r>
      <w:r>
        <w:t>万元，较上年增加</w:t>
      </w:r>
      <w:r>
        <w:rPr>
          <w:rFonts w:hint="eastAsia" w:ascii="仿宋" w:hAnsi="仿宋" w:eastAsia="仿宋"/>
        </w:rPr>
        <w:t>1.35</w:t>
      </w:r>
      <w:r>
        <w:t>万元，其中，土地、房屋及构筑物</w:t>
      </w:r>
      <w:r>
        <w:rPr>
          <w:rFonts w:hint="eastAsia" w:ascii="仿宋" w:hAnsi="仿宋" w:eastAsia="仿宋"/>
        </w:rPr>
        <w:t>0</w:t>
      </w:r>
      <w:r>
        <w:t>万元、通用设备</w:t>
      </w:r>
      <w:r>
        <w:rPr>
          <w:rFonts w:hint="eastAsia" w:ascii="仿宋" w:hAnsi="仿宋" w:eastAsia="仿宋"/>
        </w:rPr>
        <w:t>33.97</w:t>
      </w:r>
      <w:r>
        <w:t>万元、专用设备</w:t>
      </w:r>
      <w:r>
        <w:rPr>
          <w:rFonts w:hint="eastAsia" w:ascii="仿宋" w:hAnsi="仿宋" w:eastAsia="仿宋"/>
        </w:rPr>
        <w:t>0</w:t>
      </w:r>
      <w:r>
        <w:t>万元、其他资产</w:t>
      </w:r>
      <w:r>
        <w:rPr>
          <w:rFonts w:hint="eastAsia" w:ascii="仿宋" w:hAnsi="仿宋" w:eastAsia="仿宋"/>
        </w:rPr>
        <w:t>6.45</w:t>
      </w:r>
      <w:r>
        <w:t>万元。</w:t>
      </w:r>
    </w:p>
    <w:p w14:paraId="4EA3C83D">
      <w:pPr>
        <w:pStyle w:val="17"/>
      </w:pPr>
      <w:r>
        <w:t>未车改事业单位车辆</w:t>
      </w:r>
      <w:r>
        <w:rPr>
          <w:rFonts w:hint="eastAsia" w:ascii="仿宋" w:hAnsi="仿宋" w:eastAsia="仿宋"/>
        </w:rPr>
        <w:t>0</w:t>
      </w:r>
      <w:r>
        <w:t>辆，其中，一般公务用车</w:t>
      </w:r>
      <w:r>
        <w:rPr>
          <w:rFonts w:hint="eastAsia" w:ascii="仿宋" w:hAnsi="仿宋" w:eastAsia="仿宋"/>
        </w:rPr>
        <w:t>0</w:t>
      </w:r>
      <w:r>
        <w:t>辆。</w:t>
      </w:r>
    </w:p>
    <w:p w14:paraId="451FB394">
      <w:pPr>
        <w:pStyle w:val="17"/>
      </w:pPr>
      <w:r>
        <w:t>其中：厅级领导干部用车</w:t>
      </w:r>
      <w:r>
        <w:rPr>
          <w:rFonts w:hint="eastAsia"/>
        </w:rPr>
        <w:t>0</w:t>
      </w:r>
      <w:r>
        <w:t>辆、</w:t>
      </w:r>
      <w:r>
        <w:rPr>
          <w:rFonts w:hint="eastAsia"/>
        </w:rPr>
        <w:t>一般公务用车0辆、执法执勤用车0辆、特种专业技术用车0辆、其他用车0辆。</w:t>
      </w:r>
    </w:p>
    <w:p w14:paraId="506AAA04">
      <w:pPr>
        <w:pStyle w:val="17"/>
      </w:pPr>
      <w:r>
        <w:t>截至2023</w:t>
      </w:r>
      <w:r>
        <w:rPr>
          <w:rFonts w:hint="eastAsia"/>
        </w:rPr>
        <w:t>年</w:t>
      </w:r>
      <w:r>
        <w:t>12月31日，</w:t>
      </w:r>
      <w:r>
        <w:rPr>
          <w:rFonts w:hint="eastAsia"/>
        </w:rPr>
        <w:t>单位价值50万元以上的通用设备0台（套），单位价值100万元以上的专用设备0台（套）。</w:t>
      </w:r>
    </w:p>
    <w:p w14:paraId="50C58D75">
      <w:pPr>
        <w:pStyle w:val="17"/>
      </w:pPr>
      <w:r>
        <w:t>2024年部门预算安排购置车辆0辆，购置费0万元。</w:t>
      </w:r>
    </w:p>
    <w:p w14:paraId="49137D04">
      <w:pPr>
        <w:pStyle w:val="17"/>
        <w:rPr>
          <w:rFonts w:ascii="仿宋" w:hAnsi="仿宋" w:eastAsia="仿宋"/>
        </w:rPr>
      </w:pPr>
      <w:r>
        <w:t>2024年部门预算</w:t>
      </w:r>
      <w:r>
        <w:rPr>
          <w:rFonts w:hint="eastAsia"/>
        </w:rPr>
        <w:t>安排购置单位价值50万元以上的通用设备0台（套），购置费0万元；安排购置单位价值100万元以上专用设备0台（套），购置费0万元。</w:t>
      </w:r>
    </w:p>
    <w:p w14:paraId="75D1996A">
      <w:pPr>
        <w:adjustRightInd w:val="0"/>
        <w:snapToGrid w:val="0"/>
        <w:spacing w:line="600" w:lineRule="exact"/>
        <w:ind w:firstLine="640" w:firstLineChars="200"/>
        <w:rPr>
          <w:rFonts w:eastAsia="仿宋_GB2312"/>
          <w:b/>
          <w:sz w:val="32"/>
          <w:szCs w:val="32"/>
        </w:rPr>
      </w:pPr>
      <w:r>
        <w:rPr>
          <w:rFonts w:hint="eastAsia" w:ascii="仿宋_GB2312" w:hAnsi="楷体" w:eastAsia="仿宋_GB2312"/>
          <w:b/>
          <w:sz w:val="32"/>
          <w:szCs w:val="32"/>
        </w:rPr>
        <w:t>（五）</w:t>
      </w:r>
      <w:r>
        <w:rPr>
          <w:rFonts w:eastAsia="仿宋_GB2312"/>
          <w:b/>
          <w:sz w:val="32"/>
          <w:szCs w:val="32"/>
        </w:rPr>
        <w:t>绩效目标设置情况</w:t>
      </w:r>
    </w:p>
    <w:p w14:paraId="249222FC">
      <w:pPr>
        <w:pStyle w:val="17"/>
      </w:pPr>
      <w:r>
        <w:rPr>
          <w:rFonts w:hint="eastAsia"/>
        </w:rPr>
        <w:t>黄山市经济和信息化局</w:t>
      </w:r>
      <w:r>
        <w:t>2024</w:t>
      </w:r>
      <w:r>
        <w:rPr>
          <w:rFonts w:hint="eastAsia"/>
        </w:rPr>
        <w:t>年4个项目实行了绩效目标管理，涉及一般公共预算当年财政拨款57万元，政府性基金预算当年财政拨款0万元、财政专户管理资金当年安排0万元和单位资金安排安排0万元。</w:t>
      </w:r>
    </w:p>
    <w:p w14:paraId="0249316D">
      <w:pPr>
        <w:pStyle w:val="17"/>
      </w:pPr>
    </w:p>
    <w:p w14:paraId="7C4E484E">
      <w:pPr>
        <w:adjustRightInd w:val="0"/>
        <w:snapToGrid w:val="0"/>
        <w:spacing w:line="600" w:lineRule="exact"/>
        <w:jc w:val="center"/>
        <w:rPr>
          <w:rFonts w:eastAsia="黑体"/>
          <w:sz w:val="36"/>
          <w:szCs w:val="36"/>
        </w:rPr>
      </w:pPr>
      <w:r>
        <w:rPr>
          <w:rFonts w:eastAsia="黑体"/>
          <w:sz w:val="36"/>
          <w:szCs w:val="36"/>
        </w:rPr>
        <w:t>第四部分 名词解释</w:t>
      </w:r>
    </w:p>
    <w:p w14:paraId="54016B80">
      <w:pPr>
        <w:adjustRightInd w:val="0"/>
        <w:snapToGrid w:val="0"/>
        <w:spacing w:line="600" w:lineRule="exact"/>
        <w:jc w:val="center"/>
        <w:rPr>
          <w:rFonts w:eastAsia="黑体"/>
          <w:sz w:val="32"/>
          <w:szCs w:val="32"/>
        </w:rPr>
      </w:pPr>
    </w:p>
    <w:p w14:paraId="798B4E55">
      <w:pPr>
        <w:adjustRightInd w:val="0"/>
        <w:snapToGrid w:val="0"/>
        <w:spacing w:line="600" w:lineRule="exact"/>
        <w:ind w:firstLine="640" w:firstLineChars="200"/>
        <w:rPr>
          <w:rFonts w:eastAsia="仿宋_GB2312"/>
          <w:sz w:val="32"/>
          <w:szCs w:val="32"/>
        </w:rPr>
      </w:pPr>
      <w:r>
        <w:rPr>
          <w:rFonts w:eastAsia="黑体"/>
          <w:sz w:val="32"/>
          <w:szCs w:val="32"/>
        </w:rPr>
        <w:t>一、</w:t>
      </w:r>
      <w:r>
        <w:rPr>
          <w:rFonts w:hint="eastAsia" w:eastAsia="黑体"/>
          <w:sz w:val="32"/>
          <w:szCs w:val="32"/>
        </w:rPr>
        <w:t>财政</w:t>
      </w:r>
      <w:r>
        <w:rPr>
          <w:rFonts w:eastAsia="黑体"/>
          <w:sz w:val="32"/>
          <w:szCs w:val="32"/>
        </w:rPr>
        <w:t>拨款收入</w:t>
      </w:r>
      <w:r>
        <w:rPr>
          <w:rFonts w:eastAsia="仿宋_GB2312"/>
          <w:b/>
          <w:sz w:val="32"/>
          <w:szCs w:val="32"/>
        </w:rPr>
        <w:t>：</w:t>
      </w:r>
      <w:r>
        <w:rPr>
          <w:rFonts w:eastAsia="仿宋_GB2312"/>
          <w:sz w:val="32"/>
          <w:szCs w:val="32"/>
        </w:rPr>
        <w:t>指市</w:t>
      </w:r>
      <w:r>
        <w:rPr>
          <w:rFonts w:hint="eastAsia" w:eastAsia="仿宋_GB2312"/>
          <w:sz w:val="32"/>
          <w:szCs w:val="32"/>
        </w:rPr>
        <w:t>财政</w:t>
      </w:r>
      <w:r>
        <w:rPr>
          <w:rFonts w:eastAsia="仿宋_GB2312"/>
          <w:sz w:val="32"/>
          <w:szCs w:val="32"/>
        </w:rPr>
        <w:t>当年拨付的资金，主要包括一般公共预算拨款收入、政府性基金预算拨款收入、国有资本经营预算拨款收入。</w:t>
      </w:r>
    </w:p>
    <w:p w14:paraId="20972B69">
      <w:pPr>
        <w:pStyle w:val="9"/>
        <w:adjustRightInd w:val="0"/>
        <w:snapToGrid w:val="0"/>
        <w:spacing w:before="0" w:beforeAutospacing="0" w:after="0" w:afterAutospacing="0" w:line="600" w:lineRule="exact"/>
        <w:ind w:firstLine="627" w:firstLineChars="196"/>
        <w:rPr>
          <w:rFonts w:ascii="Times New Roman" w:hAnsi="Times New Roman" w:eastAsia="仿宋_GB2312" w:cs="Times New Roman"/>
          <w:kern w:val="2"/>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财政</w:t>
      </w:r>
      <w:r>
        <w:rPr>
          <w:rFonts w:ascii="Times New Roman" w:hAnsi="Times New Roman" w:eastAsia="黑体" w:cs="Times New Roman"/>
          <w:sz w:val="32"/>
          <w:szCs w:val="32"/>
        </w:rPr>
        <w:t>专户管理非税收入：</w:t>
      </w:r>
      <w:r>
        <w:rPr>
          <w:rFonts w:ascii="Times New Roman" w:hAnsi="Times New Roman" w:eastAsia="仿宋_GB2312" w:cs="Times New Roman"/>
          <w:kern w:val="2"/>
          <w:sz w:val="32"/>
          <w:szCs w:val="32"/>
        </w:rPr>
        <w:t>指按照非税收入管理相关规定，纳入</w:t>
      </w:r>
      <w:r>
        <w:rPr>
          <w:rFonts w:hint="eastAsia" w:ascii="Times New Roman" w:hAnsi="Times New Roman" w:eastAsia="仿宋_GB2312" w:cs="Times New Roman"/>
          <w:kern w:val="2"/>
          <w:sz w:val="32"/>
          <w:szCs w:val="32"/>
        </w:rPr>
        <w:t>财政</w:t>
      </w:r>
      <w:r>
        <w:rPr>
          <w:rFonts w:ascii="Times New Roman" w:hAnsi="Times New Roman" w:eastAsia="仿宋_GB2312" w:cs="Times New Roman"/>
          <w:kern w:val="2"/>
          <w:sz w:val="32"/>
          <w:szCs w:val="32"/>
        </w:rPr>
        <w:t>专户管理的教育收费等。</w:t>
      </w:r>
    </w:p>
    <w:p w14:paraId="0BF06E75">
      <w:pPr>
        <w:pStyle w:val="9"/>
        <w:adjustRightInd w:val="0"/>
        <w:snapToGrid w:val="0"/>
        <w:spacing w:before="0" w:beforeAutospacing="0" w:after="0" w:afterAutospacing="0" w:line="600" w:lineRule="exact"/>
        <w:ind w:firstLine="627" w:firstLineChars="196"/>
        <w:rPr>
          <w:rFonts w:ascii="Times New Roman" w:hAnsi="Times New Roman" w:eastAsia="仿宋_GB2312" w:cs="Times New Roman"/>
          <w:kern w:val="2"/>
          <w:sz w:val="32"/>
          <w:szCs w:val="32"/>
        </w:rPr>
      </w:pPr>
      <w:r>
        <w:rPr>
          <w:rFonts w:ascii="Times New Roman" w:hAnsi="Times New Roman" w:eastAsia="黑体" w:cs="Times New Roman"/>
          <w:sz w:val="32"/>
          <w:szCs w:val="32"/>
        </w:rPr>
        <w:t>三、其他收入：</w:t>
      </w:r>
      <w:r>
        <w:rPr>
          <w:rFonts w:ascii="Times New Roman" w:hAnsi="Times New Roman" w:eastAsia="仿宋_GB2312" w:cs="Times New Roman"/>
          <w:kern w:val="2"/>
          <w:sz w:val="32"/>
          <w:szCs w:val="32"/>
        </w:rPr>
        <w:t>指除了</w:t>
      </w:r>
      <w:r>
        <w:rPr>
          <w:rFonts w:hint="eastAsia" w:ascii="Times New Roman" w:hAnsi="Times New Roman" w:eastAsia="仿宋_GB2312" w:cs="Times New Roman"/>
          <w:sz w:val="32"/>
          <w:szCs w:val="32"/>
        </w:rPr>
        <w:t>财政</w:t>
      </w:r>
      <w:r>
        <w:rPr>
          <w:rFonts w:ascii="Times New Roman" w:hAnsi="Times New Roman" w:eastAsia="仿宋_GB2312" w:cs="Times New Roman"/>
          <w:kern w:val="2"/>
          <w:sz w:val="32"/>
          <w:szCs w:val="32"/>
        </w:rPr>
        <w:t>拨款收入、</w:t>
      </w:r>
      <w:r>
        <w:rPr>
          <w:rFonts w:hint="eastAsia" w:ascii="Times New Roman" w:hAnsi="Times New Roman" w:eastAsia="仿宋_GB2312" w:cs="Times New Roman"/>
          <w:sz w:val="32"/>
          <w:szCs w:val="32"/>
        </w:rPr>
        <w:t>财政</w:t>
      </w:r>
      <w:r>
        <w:rPr>
          <w:rFonts w:ascii="Times New Roman" w:hAnsi="Times New Roman" w:eastAsia="仿宋_GB2312" w:cs="Times New Roman"/>
          <w:kern w:val="2"/>
          <w:sz w:val="32"/>
          <w:szCs w:val="32"/>
        </w:rPr>
        <w:t>专户管理非税收入等以外的收入。</w:t>
      </w:r>
    </w:p>
    <w:p w14:paraId="5298D05C">
      <w:pPr>
        <w:pStyle w:val="9"/>
        <w:adjustRightInd w:val="0"/>
        <w:snapToGrid w:val="0"/>
        <w:spacing w:before="0" w:beforeAutospacing="0" w:after="0" w:afterAutospacing="0" w:line="600" w:lineRule="exact"/>
        <w:ind w:firstLine="627" w:firstLineChars="196"/>
        <w:rPr>
          <w:rFonts w:ascii="Times New Roman" w:hAnsi="Times New Roman" w:eastAsia="仿宋_GB2312" w:cs="Times New Roman"/>
          <w:kern w:val="2"/>
          <w:sz w:val="32"/>
          <w:szCs w:val="32"/>
        </w:rPr>
      </w:pPr>
      <w:r>
        <w:rPr>
          <w:rFonts w:ascii="Times New Roman" w:hAnsi="Times New Roman" w:eastAsia="黑体" w:cs="Times New Roman"/>
          <w:sz w:val="32"/>
          <w:szCs w:val="32"/>
        </w:rPr>
        <w:t>四、上年结转：</w:t>
      </w:r>
      <w:r>
        <w:rPr>
          <w:rFonts w:ascii="Times New Roman" w:hAnsi="Times New Roman" w:eastAsia="仿宋_GB2312" w:cs="Times New Roman"/>
          <w:kern w:val="2"/>
          <w:sz w:val="32"/>
          <w:szCs w:val="32"/>
        </w:rPr>
        <w:t>指以前年度安排、结转到本年仍按原用途继续使用的资金。</w:t>
      </w:r>
    </w:p>
    <w:p w14:paraId="54BD2B55">
      <w:pPr>
        <w:pStyle w:val="9"/>
        <w:adjustRightInd w:val="0"/>
        <w:snapToGrid w:val="0"/>
        <w:spacing w:before="0" w:beforeAutospacing="0" w:after="0" w:afterAutospacing="0" w:line="600" w:lineRule="exact"/>
        <w:ind w:firstLine="627" w:firstLineChars="196"/>
        <w:rPr>
          <w:rFonts w:ascii="Times New Roman" w:hAnsi="Times New Roman" w:eastAsia="仿宋_GB2312" w:cs="Times New Roman"/>
          <w:kern w:val="2"/>
          <w:sz w:val="32"/>
          <w:szCs w:val="32"/>
        </w:rPr>
      </w:pPr>
      <w:r>
        <w:rPr>
          <w:rFonts w:ascii="Times New Roman" w:hAnsi="Times New Roman" w:eastAsia="黑体" w:cs="Times New Roman"/>
          <w:sz w:val="32"/>
          <w:szCs w:val="32"/>
        </w:rPr>
        <w:t>五、结转下年：</w:t>
      </w:r>
      <w:r>
        <w:rPr>
          <w:rFonts w:ascii="Times New Roman" w:hAnsi="Times New Roman" w:eastAsia="仿宋_GB2312" w:cs="Times New Roman"/>
          <w:kern w:val="2"/>
          <w:sz w:val="32"/>
          <w:szCs w:val="32"/>
        </w:rPr>
        <w:t>指以前年度预算安排、因客观条件发生变化无法按原计划实施，需以后年度按原用途继续使用的资金。</w:t>
      </w:r>
    </w:p>
    <w:p w14:paraId="7CB68FEA">
      <w:pPr>
        <w:pStyle w:val="9"/>
        <w:adjustRightInd w:val="0"/>
        <w:snapToGrid w:val="0"/>
        <w:spacing w:before="0" w:beforeAutospacing="0" w:after="0" w:afterAutospacing="0" w:line="600" w:lineRule="exact"/>
        <w:ind w:firstLine="627" w:firstLineChars="196"/>
        <w:rPr>
          <w:rFonts w:ascii="Times New Roman" w:hAnsi="Times New Roman" w:eastAsia="仿宋_GB2312" w:cs="Times New Roman"/>
          <w:sz w:val="32"/>
          <w:szCs w:val="32"/>
        </w:rPr>
      </w:pPr>
      <w:r>
        <w:rPr>
          <w:rFonts w:ascii="Times New Roman" w:hAnsi="Times New Roman" w:eastAsia="黑体" w:cs="Times New Roman"/>
          <w:sz w:val="32"/>
          <w:szCs w:val="32"/>
        </w:rPr>
        <w:t>六、基本支出</w:t>
      </w:r>
      <w:r>
        <w:rPr>
          <w:rFonts w:ascii="Times New Roman" w:hAnsi="Times New Roman" w:eastAsia="仿宋_GB2312" w:cs="Times New Roman"/>
          <w:b/>
          <w:sz w:val="32"/>
          <w:szCs w:val="32"/>
        </w:rPr>
        <w:t>：</w:t>
      </w:r>
      <w:r>
        <w:rPr>
          <w:rFonts w:ascii="Times New Roman" w:hAnsi="Times New Roman" w:eastAsia="仿宋_GB2312" w:cs="Times New Roman"/>
          <w:sz w:val="32"/>
          <w:szCs w:val="32"/>
        </w:rPr>
        <w:t>指为保障机构正常运转、完成日常工作任务而发生的人员支出和公用支出。</w:t>
      </w:r>
    </w:p>
    <w:p w14:paraId="066EF53F">
      <w:pPr>
        <w:pStyle w:val="9"/>
        <w:spacing w:before="0" w:beforeAutospacing="0" w:after="0" w:afterAutospacing="0" w:line="600" w:lineRule="exact"/>
        <w:ind w:firstLine="627" w:firstLineChars="196"/>
        <w:jc w:val="both"/>
        <w:rPr>
          <w:rFonts w:ascii="Times New Roman" w:hAnsi="Times New Roman" w:eastAsia="仿宋_GB2312" w:cs="Times New Roman"/>
          <w:sz w:val="32"/>
          <w:szCs w:val="32"/>
        </w:rPr>
      </w:pPr>
      <w:r>
        <w:rPr>
          <w:rFonts w:ascii="Times New Roman" w:hAnsi="Times New Roman" w:eastAsia="黑体" w:cs="Times New Roman"/>
          <w:sz w:val="32"/>
          <w:szCs w:val="32"/>
        </w:rPr>
        <w:t>七、项目支出</w:t>
      </w:r>
      <w:r>
        <w:rPr>
          <w:rFonts w:ascii="Times New Roman" w:hAnsi="Times New Roman" w:eastAsia="仿宋_GB2312" w:cs="Times New Roman"/>
          <w:b/>
          <w:sz w:val="32"/>
          <w:szCs w:val="32"/>
        </w:rPr>
        <w:t>：</w:t>
      </w:r>
      <w:r>
        <w:rPr>
          <w:rFonts w:ascii="Times New Roman" w:hAnsi="Times New Roman" w:eastAsia="仿宋_GB2312" w:cs="Times New Roman"/>
          <w:sz w:val="32"/>
          <w:szCs w:val="32"/>
        </w:rPr>
        <w:t>指在基本支出之外为完成特定行政任务和事业发展目标所发生的支出。</w:t>
      </w:r>
      <w:r>
        <w:rPr>
          <w:rFonts w:ascii="Times New Roman" w:hAnsi="Times New Roman" w:eastAsia="仿宋_GB2312" w:cs="Times New Roman"/>
          <w:sz w:val="32"/>
          <w:szCs w:val="32"/>
        </w:rPr>
        <w:br w:type="textWrapping"/>
      </w:r>
      <w:r>
        <w:rPr>
          <w:rFonts w:ascii="Times New Roman" w:hAnsi="Times New Roman" w:eastAsia="黑体" w:cs="Times New Roman"/>
          <w:sz w:val="32"/>
          <w:szCs w:val="32"/>
        </w:rPr>
        <w:t xml:space="preserve"> 八、“三公”经费：</w:t>
      </w:r>
      <w:r>
        <w:rPr>
          <w:rFonts w:ascii="Times New Roman" w:hAnsi="Times New Roman" w:eastAsia="仿宋_GB2312" w:cs="Times New Roman"/>
          <w:sz w:val="32"/>
          <w:szCs w:val="32"/>
        </w:rPr>
        <w:t>纳入</w:t>
      </w:r>
      <w:r>
        <w:rPr>
          <w:rFonts w:hint="eastAsia" w:ascii="Times New Roman" w:hAnsi="Times New Roman" w:eastAsia="仿宋_GB2312" w:cs="Times New Roman"/>
          <w:sz w:val="32"/>
          <w:szCs w:val="32"/>
        </w:rPr>
        <w:t>财政</w:t>
      </w:r>
      <w:r>
        <w:rPr>
          <w:rFonts w:ascii="Times New Roman" w:hAnsi="Times New Roman" w:eastAsia="仿宋_GB2312" w:cs="Times New Roman"/>
          <w:sz w:val="32"/>
          <w:szCs w:val="32"/>
        </w:rPr>
        <w:t>预决算管理的“三公”经费，是指单位用</w:t>
      </w:r>
      <w:r>
        <w:rPr>
          <w:rFonts w:hint="eastAsia" w:ascii="Times New Roman" w:hAnsi="Times New Roman" w:eastAsia="仿宋_GB2312" w:cs="Times New Roman"/>
          <w:sz w:val="32"/>
          <w:szCs w:val="32"/>
        </w:rPr>
        <w:t>财政</w:t>
      </w:r>
      <w:r>
        <w:rPr>
          <w:rFonts w:ascii="Times New Roman" w:hAnsi="Times New Roman" w:eastAsia="仿宋_GB2312" w:cs="Times New Roman"/>
          <w:sz w:val="32"/>
          <w:szCs w:val="32"/>
        </w:rPr>
        <w:t>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支出。</w:t>
      </w:r>
    </w:p>
    <w:p w14:paraId="3CB91E0E">
      <w:pPr>
        <w:spacing w:line="560" w:lineRule="exact"/>
        <w:jc w:val="left"/>
        <w:rPr>
          <w:rFonts w:ascii="TimesNewRoman" w:hAnsi="TimesNewRoman" w:eastAsia="华文中宋" w:cs="TimesNewRoman"/>
          <w:b/>
          <w:sz w:val="36"/>
          <w:szCs w:val="36"/>
        </w:rPr>
      </w:pPr>
    </w:p>
    <w:p w14:paraId="7DA29425">
      <w:pPr>
        <w:spacing w:line="560" w:lineRule="exact"/>
        <w:jc w:val="left"/>
        <w:rPr>
          <w:rFonts w:ascii="TimesNewRoman" w:hAnsi="TimesNewRoman" w:eastAsia="华文中宋" w:cs="TimesNewRoman"/>
          <w:b/>
          <w:sz w:val="36"/>
          <w:szCs w:val="36"/>
        </w:rPr>
      </w:pPr>
    </w:p>
    <w:p w14:paraId="4EA357DF">
      <w:pPr>
        <w:spacing w:line="560" w:lineRule="exact"/>
        <w:jc w:val="left"/>
        <w:rPr>
          <w:rFonts w:ascii="TimesNewRoman" w:hAnsi="TimesNewRoman" w:eastAsia="华文中宋" w:cs="TimesNewRoman"/>
          <w:b/>
          <w:sz w:val="36"/>
          <w:szCs w:val="36"/>
        </w:rPr>
      </w:pPr>
    </w:p>
    <w:p w14:paraId="795C51D0">
      <w:p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
          <w:sz w:val="32"/>
          <w:szCs w:val="32"/>
        </w:rPr>
        <w:t>附件：</w:t>
      </w:r>
      <w:r>
        <w:rPr>
          <w:rFonts w:hint="eastAsia" w:ascii="仿宋_GB2312" w:hAnsi="仿宋_GB2312" w:eastAsia="仿宋_GB2312" w:cs="仿宋_GB2312"/>
          <w:bCs/>
          <w:sz w:val="32"/>
          <w:szCs w:val="32"/>
        </w:rPr>
        <w:t>黄山市经济和信息化局2024年度项目支出绩效目标</w:t>
      </w:r>
    </w:p>
    <w:p w14:paraId="467DFC73">
      <w:pPr>
        <w:spacing w:line="560" w:lineRule="exact"/>
        <w:jc w:val="center"/>
        <w:rPr>
          <w:rFonts w:ascii="TimesNewRoman" w:hAnsi="TimesNewRoman" w:eastAsia="华文中宋" w:cs="TimesNewRoman"/>
          <w:b/>
          <w:sz w:val="36"/>
          <w:szCs w:val="36"/>
        </w:rPr>
      </w:pPr>
    </w:p>
    <w:p w14:paraId="4EBE505B">
      <w:pPr>
        <w:tabs>
          <w:tab w:val="left" w:pos="3316"/>
        </w:tabs>
        <w:adjustRightInd w:val="0"/>
        <w:snapToGrid w:val="0"/>
        <w:spacing w:line="560" w:lineRule="exact"/>
        <w:outlineLvl w:val="0"/>
        <w:rPr>
          <w:rFonts w:ascii="TimesNewRoman" w:hAnsi="TimesNewRoman" w:eastAsia="黑体" w:cs="TimesNewRoman"/>
          <w:sz w:val="36"/>
          <w:szCs w:val="36"/>
        </w:rPr>
      </w:pPr>
    </w:p>
    <w:sectPr>
      <w:pgSz w:w="11906" w:h="16838"/>
      <w:pgMar w:top="1440" w:right="1418"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NewRoman">
    <w:altName w:val="Simplified Arabic"/>
    <w:panose1 w:val="00000000000000000000"/>
    <w:charset w:val="00"/>
    <w:family w:val="auto"/>
    <w:pitch w:val="default"/>
    <w:sig w:usb0="00000000" w:usb1="00000000" w:usb2="00000029" w:usb3="00000000" w:csb0="600001FF" w:csb1="FFFF0000"/>
  </w:font>
  <w:font w:name="华文中宋">
    <w:panose1 w:val="02010600040101010101"/>
    <w:charset w:val="86"/>
    <w:family w:val="auto"/>
    <w:pitch w:val="default"/>
    <w:sig w:usb0="00000287" w:usb1="080F0000" w:usb2="00000000" w:usb3="00000000" w:csb0="0004009F" w:csb1="DFD70000"/>
  </w:font>
  <w:font w:name="Simplified Arabic">
    <w:panose1 w:val="02020603050405020304"/>
    <w:charset w:val="00"/>
    <w:family w:val="auto"/>
    <w:pitch w:val="default"/>
    <w:sig w:usb0="00002003" w:usb1="00000000" w:usb2="00000000"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C3CAB">
    <w:pPr>
      <w:pStyle w:val="7"/>
      <w:jc w:val="center"/>
    </w:pPr>
    <w:r>
      <w:fldChar w:fldCharType="begin"/>
    </w:r>
    <w:r>
      <w:instrText xml:space="preserve"> PAGE   \* MERGEFORMAT </w:instrText>
    </w:r>
    <w:r>
      <w:fldChar w:fldCharType="separate"/>
    </w:r>
    <w:r>
      <w:rPr>
        <w:lang w:val="zh-CN"/>
      </w:rPr>
      <w:t>2</w:t>
    </w:r>
    <w:r>
      <w:fldChar w:fldCharType="end"/>
    </w:r>
  </w:p>
  <w:p w14:paraId="2DDD2C0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BF0CD">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8A3C95"/>
    <w:multiLevelType w:val="singleLevel"/>
    <w:tmpl w:val="5C8A3C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RjZmQ1ZTVlZGQ0ZTIyZjYxMGI1NDNiODBiMWJkNWYifQ=="/>
  </w:docVars>
  <w:rsids>
    <w:rsidRoot w:val="00884EF3"/>
    <w:rsid w:val="00001C4D"/>
    <w:rsid w:val="0000665B"/>
    <w:rsid w:val="00020DE5"/>
    <w:rsid w:val="0002245A"/>
    <w:rsid w:val="000235D0"/>
    <w:rsid w:val="00041603"/>
    <w:rsid w:val="0004172E"/>
    <w:rsid w:val="00041A3C"/>
    <w:rsid w:val="00044AF5"/>
    <w:rsid w:val="00046C78"/>
    <w:rsid w:val="0005172D"/>
    <w:rsid w:val="00066783"/>
    <w:rsid w:val="00066E8F"/>
    <w:rsid w:val="0007222A"/>
    <w:rsid w:val="000767EB"/>
    <w:rsid w:val="00080FA1"/>
    <w:rsid w:val="000876F2"/>
    <w:rsid w:val="000A2B6B"/>
    <w:rsid w:val="000A440A"/>
    <w:rsid w:val="000A45EA"/>
    <w:rsid w:val="000A7793"/>
    <w:rsid w:val="000B102E"/>
    <w:rsid w:val="000B7C34"/>
    <w:rsid w:val="000E4F06"/>
    <w:rsid w:val="000F591D"/>
    <w:rsid w:val="000F678E"/>
    <w:rsid w:val="001003FB"/>
    <w:rsid w:val="00101A9A"/>
    <w:rsid w:val="00102014"/>
    <w:rsid w:val="00103721"/>
    <w:rsid w:val="001055D0"/>
    <w:rsid w:val="001119B2"/>
    <w:rsid w:val="00112450"/>
    <w:rsid w:val="00116634"/>
    <w:rsid w:val="00120CF9"/>
    <w:rsid w:val="001278AA"/>
    <w:rsid w:val="00130975"/>
    <w:rsid w:val="00134D64"/>
    <w:rsid w:val="001431FA"/>
    <w:rsid w:val="00144CED"/>
    <w:rsid w:val="00153162"/>
    <w:rsid w:val="00154EB8"/>
    <w:rsid w:val="0015647F"/>
    <w:rsid w:val="001576E5"/>
    <w:rsid w:val="001577BF"/>
    <w:rsid w:val="00165ECB"/>
    <w:rsid w:val="001748CD"/>
    <w:rsid w:val="0017717F"/>
    <w:rsid w:val="001822C2"/>
    <w:rsid w:val="00194180"/>
    <w:rsid w:val="00196579"/>
    <w:rsid w:val="001A022B"/>
    <w:rsid w:val="001A1297"/>
    <w:rsid w:val="001A252D"/>
    <w:rsid w:val="001B3434"/>
    <w:rsid w:val="001B79BC"/>
    <w:rsid w:val="001C0BD2"/>
    <w:rsid w:val="001C0F29"/>
    <w:rsid w:val="001D029A"/>
    <w:rsid w:val="001D4B01"/>
    <w:rsid w:val="001D561C"/>
    <w:rsid w:val="001D7312"/>
    <w:rsid w:val="001E46D7"/>
    <w:rsid w:val="001F0790"/>
    <w:rsid w:val="001F07F0"/>
    <w:rsid w:val="001F37B1"/>
    <w:rsid w:val="0020030E"/>
    <w:rsid w:val="00201BB6"/>
    <w:rsid w:val="00203063"/>
    <w:rsid w:val="00204AF2"/>
    <w:rsid w:val="00204EFF"/>
    <w:rsid w:val="00210E2A"/>
    <w:rsid w:val="00212A5F"/>
    <w:rsid w:val="00213575"/>
    <w:rsid w:val="002161FA"/>
    <w:rsid w:val="00216582"/>
    <w:rsid w:val="00216F14"/>
    <w:rsid w:val="00223DD6"/>
    <w:rsid w:val="00232957"/>
    <w:rsid w:val="002331A7"/>
    <w:rsid w:val="0023587C"/>
    <w:rsid w:val="00235E7C"/>
    <w:rsid w:val="00240354"/>
    <w:rsid w:val="00241D6B"/>
    <w:rsid w:val="0024264B"/>
    <w:rsid w:val="00242C6A"/>
    <w:rsid w:val="00244ADF"/>
    <w:rsid w:val="00264952"/>
    <w:rsid w:val="00266F6F"/>
    <w:rsid w:val="00271BD2"/>
    <w:rsid w:val="002731B1"/>
    <w:rsid w:val="00274682"/>
    <w:rsid w:val="00281B96"/>
    <w:rsid w:val="002822B7"/>
    <w:rsid w:val="002843F3"/>
    <w:rsid w:val="00284AD1"/>
    <w:rsid w:val="002912FF"/>
    <w:rsid w:val="0029292C"/>
    <w:rsid w:val="00295557"/>
    <w:rsid w:val="002A0119"/>
    <w:rsid w:val="002A15BD"/>
    <w:rsid w:val="002A201D"/>
    <w:rsid w:val="002A6E39"/>
    <w:rsid w:val="002A7603"/>
    <w:rsid w:val="002B2D05"/>
    <w:rsid w:val="002C451D"/>
    <w:rsid w:val="002C72CD"/>
    <w:rsid w:val="002D1FE7"/>
    <w:rsid w:val="002D3CBA"/>
    <w:rsid w:val="002D5BA6"/>
    <w:rsid w:val="002E02CA"/>
    <w:rsid w:val="002E6EE7"/>
    <w:rsid w:val="002F50BC"/>
    <w:rsid w:val="002F6B5C"/>
    <w:rsid w:val="002F70D8"/>
    <w:rsid w:val="00315AC7"/>
    <w:rsid w:val="003202A5"/>
    <w:rsid w:val="00320923"/>
    <w:rsid w:val="00322E4D"/>
    <w:rsid w:val="0033096E"/>
    <w:rsid w:val="0034241B"/>
    <w:rsid w:val="003479E4"/>
    <w:rsid w:val="003607C5"/>
    <w:rsid w:val="003613BE"/>
    <w:rsid w:val="00361D0B"/>
    <w:rsid w:val="00364339"/>
    <w:rsid w:val="00367717"/>
    <w:rsid w:val="003708B2"/>
    <w:rsid w:val="0037368D"/>
    <w:rsid w:val="00374A95"/>
    <w:rsid w:val="00374E2E"/>
    <w:rsid w:val="003764C5"/>
    <w:rsid w:val="003853BB"/>
    <w:rsid w:val="003872E9"/>
    <w:rsid w:val="003879D6"/>
    <w:rsid w:val="00387A5C"/>
    <w:rsid w:val="00392333"/>
    <w:rsid w:val="00396026"/>
    <w:rsid w:val="003A1262"/>
    <w:rsid w:val="003A3AB3"/>
    <w:rsid w:val="003A6FCD"/>
    <w:rsid w:val="003B70C8"/>
    <w:rsid w:val="003C11AF"/>
    <w:rsid w:val="003C18FB"/>
    <w:rsid w:val="003C3C10"/>
    <w:rsid w:val="003C5996"/>
    <w:rsid w:val="003C69BD"/>
    <w:rsid w:val="003D2A66"/>
    <w:rsid w:val="003D5C34"/>
    <w:rsid w:val="003D7E92"/>
    <w:rsid w:val="003E20CD"/>
    <w:rsid w:val="003E43F8"/>
    <w:rsid w:val="003E4E65"/>
    <w:rsid w:val="003F17B8"/>
    <w:rsid w:val="003F4E12"/>
    <w:rsid w:val="003F6420"/>
    <w:rsid w:val="003F736F"/>
    <w:rsid w:val="003F7F66"/>
    <w:rsid w:val="0040046F"/>
    <w:rsid w:val="00405697"/>
    <w:rsid w:val="004074D7"/>
    <w:rsid w:val="00416F0B"/>
    <w:rsid w:val="004205EB"/>
    <w:rsid w:val="00422A81"/>
    <w:rsid w:val="004271C2"/>
    <w:rsid w:val="0043251E"/>
    <w:rsid w:val="004348D5"/>
    <w:rsid w:val="00456891"/>
    <w:rsid w:val="00464B12"/>
    <w:rsid w:val="00465890"/>
    <w:rsid w:val="00477601"/>
    <w:rsid w:val="00477896"/>
    <w:rsid w:val="0048209E"/>
    <w:rsid w:val="00486114"/>
    <w:rsid w:val="004869A4"/>
    <w:rsid w:val="0048782D"/>
    <w:rsid w:val="004A17BF"/>
    <w:rsid w:val="004A2774"/>
    <w:rsid w:val="004A34C0"/>
    <w:rsid w:val="004A4E47"/>
    <w:rsid w:val="004A63C3"/>
    <w:rsid w:val="004B18F7"/>
    <w:rsid w:val="004B45C1"/>
    <w:rsid w:val="004C2D13"/>
    <w:rsid w:val="004C39F8"/>
    <w:rsid w:val="004D16C1"/>
    <w:rsid w:val="004D4EFB"/>
    <w:rsid w:val="004D5AFE"/>
    <w:rsid w:val="005035AE"/>
    <w:rsid w:val="005102DF"/>
    <w:rsid w:val="00511848"/>
    <w:rsid w:val="00513252"/>
    <w:rsid w:val="00515E34"/>
    <w:rsid w:val="0052098F"/>
    <w:rsid w:val="00527460"/>
    <w:rsid w:val="00530BC3"/>
    <w:rsid w:val="00532451"/>
    <w:rsid w:val="00536194"/>
    <w:rsid w:val="005404B7"/>
    <w:rsid w:val="00542C85"/>
    <w:rsid w:val="005560DF"/>
    <w:rsid w:val="005566B5"/>
    <w:rsid w:val="005672DB"/>
    <w:rsid w:val="00570085"/>
    <w:rsid w:val="00573536"/>
    <w:rsid w:val="005738ED"/>
    <w:rsid w:val="005749F4"/>
    <w:rsid w:val="0059103C"/>
    <w:rsid w:val="005A02B2"/>
    <w:rsid w:val="005A0A22"/>
    <w:rsid w:val="005B0ECF"/>
    <w:rsid w:val="005B4458"/>
    <w:rsid w:val="005B68B7"/>
    <w:rsid w:val="005C2D46"/>
    <w:rsid w:val="005C66FF"/>
    <w:rsid w:val="005D141D"/>
    <w:rsid w:val="005D7F46"/>
    <w:rsid w:val="005E39D1"/>
    <w:rsid w:val="005F0935"/>
    <w:rsid w:val="005F42CE"/>
    <w:rsid w:val="005F43C4"/>
    <w:rsid w:val="005F67C0"/>
    <w:rsid w:val="005F7E38"/>
    <w:rsid w:val="006056A7"/>
    <w:rsid w:val="00612140"/>
    <w:rsid w:val="00614EC4"/>
    <w:rsid w:val="00615C41"/>
    <w:rsid w:val="00620E62"/>
    <w:rsid w:val="00622F70"/>
    <w:rsid w:val="0062426F"/>
    <w:rsid w:val="006308F5"/>
    <w:rsid w:val="00631013"/>
    <w:rsid w:val="00633459"/>
    <w:rsid w:val="00634A98"/>
    <w:rsid w:val="006376DB"/>
    <w:rsid w:val="00645436"/>
    <w:rsid w:val="006456B8"/>
    <w:rsid w:val="0064594E"/>
    <w:rsid w:val="00654F07"/>
    <w:rsid w:val="00657A31"/>
    <w:rsid w:val="00670DCE"/>
    <w:rsid w:val="00671243"/>
    <w:rsid w:val="00680702"/>
    <w:rsid w:val="006A0FCD"/>
    <w:rsid w:val="006A2689"/>
    <w:rsid w:val="006A288D"/>
    <w:rsid w:val="006A49EE"/>
    <w:rsid w:val="006A4D0E"/>
    <w:rsid w:val="006A54A2"/>
    <w:rsid w:val="006A59F4"/>
    <w:rsid w:val="006B04A0"/>
    <w:rsid w:val="006B309C"/>
    <w:rsid w:val="006B5BB8"/>
    <w:rsid w:val="006C0606"/>
    <w:rsid w:val="006C0D39"/>
    <w:rsid w:val="006C5CA9"/>
    <w:rsid w:val="006E37C6"/>
    <w:rsid w:val="006F077B"/>
    <w:rsid w:val="00707041"/>
    <w:rsid w:val="00710E1F"/>
    <w:rsid w:val="007110A4"/>
    <w:rsid w:val="00714275"/>
    <w:rsid w:val="00715743"/>
    <w:rsid w:val="0071574E"/>
    <w:rsid w:val="0071575A"/>
    <w:rsid w:val="00716783"/>
    <w:rsid w:val="00732B18"/>
    <w:rsid w:val="0073588B"/>
    <w:rsid w:val="007361AD"/>
    <w:rsid w:val="00740224"/>
    <w:rsid w:val="0074635D"/>
    <w:rsid w:val="00751ABA"/>
    <w:rsid w:val="00753AFD"/>
    <w:rsid w:val="00755B89"/>
    <w:rsid w:val="00776EE1"/>
    <w:rsid w:val="00787632"/>
    <w:rsid w:val="00795B9A"/>
    <w:rsid w:val="007A0D9E"/>
    <w:rsid w:val="007B76CC"/>
    <w:rsid w:val="007C24BB"/>
    <w:rsid w:val="007C719C"/>
    <w:rsid w:val="007E78AE"/>
    <w:rsid w:val="008274B3"/>
    <w:rsid w:val="00837C89"/>
    <w:rsid w:val="00843CAD"/>
    <w:rsid w:val="00850D77"/>
    <w:rsid w:val="00855475"/>
    <w:rsid w:val="008619C0"/>
    <w:rsid w:val="008671E1"/>
    <w:rsid w:val="00870B98"/>
    <w:rsid w:val="00873BAD"/>
    <w:rsid w:val="00880749"/>
    <w:rsid w:val="0088165C"/>
    <w:rsid w:val="00884EF3"/>
    <w:rsid w:val="00887E4C"/>
    <w:rsid w:val="008938B9"/>
    <w:rsid w:val="008A5956"/>
    <w:rsid w:val="008B096B"/>
    <w:rsid w:val="008B6CBB"/>
    <w:rsid w:val="008C4CF4"/>
    <w:rsid w:val="008C576D"/>
    <w:rsid w:val="008C6C7D"/>
    <w:rsid w:val="008C7933"/>
    <w:rsid w:val="008E2EAA"/>
    <w:rsid w:val="008E3B53"/>
    <w:rsid w:val="008F429C"/>
    <w:rsid w:val="009004CD"/>
    <w:rsid w:val="009014F5"/>
    <w:rsid w:val="009016E0"/>
    <w:rsid w:val="0090196E"/>
    <w:rsid w:val="0090208D"/>
    <w:rsid w:val="00902FE1"/>
    <w:rsid w:val="0091270C"/>
    <w:rsid w:val="00912832"/>
    <w:rsid w:val="00913636"/>
    <w:rsid w:val="0092492B"/>
    <w:rsid w:val="0092634C"/>
    <w:rsid w:val="009340C8"/>
    <w:rsid w:val="0094235B"/>
    <w:rsid w:val="00952F19"/>
    <w:rsid w:val="00954BA6"/>
    <w:rsid w:val="009636BD"/>
    <w:rsid w:val="00966E69"/>
    <w:rsid w:val="00971CE5"/>
    <w:rsid w:val="0097584C"/>
    <w:rsid w:val="009772DC"/>
    <w:rsid w:val="0098072D"/>
    <w:rsid w:val="00990B93"/>
    <w:rsid w:val="00994F0E"/>
    <w:rsid w:val="00996EB5"/>
    <w:rsid w:val="009A0290"/>
    <w:rsid w:val="009A2AC0"/>
    <w:rsid w:val="009A4818"/>
    <w:rsid w:val="009B052D"/>
    <w:rsid w:val="009B63C8"/>
    <w:rsid w:val="009C2A87"/>
    <w:rsid w:val="009C7E66"/>
    <w:rsid w:val="009D6373"/>
    <w:rsid w:val="009E1D5C"/>
    <w:rsid w:val="009E2DE8"/>
    <w:rsid w:val="009E4968"/>
    <w:rsid w:val="00A012BA"/>
    <w:rsid w:val="00A01DE6"/>
    <w:rsid w:val="00A04B86"/>
    <w:rsid w:val="00A067BC"/>
    <w:rsid w:val="00A0692F"/>
    <w:rsid w:val="00A07986"/>
    <w:rsid w:val="00A07B94"/>
    <w:rsid w:val="00A101B6"/>
    <w:rsid w:val="00A10362"/>
    <w:rsid w:val="00A33E37"/>
    <w:rsid w:val="00A3675B"/>
    <w:rsid w:val="00A50579"/>
    <w:rsid w:val="00A519AE"/>
    <w:rsid w:val="00A52250"/>
    <w:rsid w:val="00A523A6"/>
    <w:rsid w:val="00A6061D"/>
    <w:rsid w:val="00A60F6F"/>
    <w:rsid w:val="00A635B6"/>
    <w:rsid w:val="00A64936"/>
    <w:rsid w:val="00A655D0"/>
    <w:rsid w:val="00A661BA"/>
    <w:rsid w:val="00A666E6"/>
    <w:rsid w:val="00A80281"/>
    <w:rsid w:val="00A91B46"/>
    <w:rsid w:val="00A92028"/>
    <w:rsid w:val="00A96B66"/>
    <w:rsid w:val="00AA6510"/>
    <w:rsid w:val="00AB18BA"/>
    <w:rsid w:val="00AB3162"/>
    <w:rsid w:val="00AC7D74"/>
    <w:rsid w:val="00AD022C"/>
    <w:rsid w:val="00AD303C"/>
    <w:rsid w:val="00AD4670"/>
    <w:rsid w:val="00AD48C7"/>
    <w:rsid w:val="00AE3F9B"/>
    <w:rsid w:val="00AE423C"/>
    <w:rsid w:val="00AE59A2"/>
    <w:rsid w:val="00AE6D7A"/>
    <w:rsid w:val="00AF11AD"/>
    <w:rsid w:val="00AF35B1"/>
    <w:rsid w:val="00AF79A3"/>
    <w:rsid w:val="00B122F7"/>
    <w:rsid w:val="00B133EB"/>
    <w:rsid w:val="00B1516E"/>
    <w:rsid w:val="00B160C4"/>
    <w:rsid w:val="00B20BA8"/>
    <w:rsid w:val="00B20F47"/>
    <w:rsid w:val="00B222C0"/>
    <w:rsid w:val="00B32A12"/>
    <w:rsid w:val="00B32CDF"/>
    <w:rsid w:val="00B346B9"/>
    <w:rsid w:val="00B34ACF"/>
    <w:rsid w:val="00B358BB"/>
    <w:rsid w:val="00B41180"/>
    <w:rsid w:val="00B421CD"/>
    <w:rsid w:val="00B43BD6"/>
    <w:rsid w:val="00B451F6"/>
    <w:rsid w:val="00B57BC4"/>
    <w:rsid w:val="00B613F4"/>
    <w:rsid w:val="00B62D55"/>
    <w:rsid w:val="00B67C2F"/>
    <w:rsid w:val="00B71D99"/>
    <w:rsid w:val="00B73BA8"/>
    <w:rsid w:val="00B74799"/>
    <w:rsid w:val="00B833E6"/>
    <w:rsid w:val="00B92470"/>
    <w:rsid w:val="00B93AC4"/>
    <w:rsid w:val="00B951A4"/>
    <w:rsid w:val="00BA5EAE"/>
    <w:rsid w:val="00BA698B"/>
    <w:rsid w:val="00BB08AD"/>
    <w:rsid w:val="00BB5479"/>
    <w:rsid w:val="00BB790A"/>
    <w:rsid w:val="00BC0B88"/>
    <w:rsid w:val="00BC5748"/>
    <w:rsid w:val="00BC76E7"/>
    <w:rsid w:val="00BD0419"/>
    <w:rsid w:val="00BD5856"/>
    <w:rsid w:val="00BE7EE3"/>
    <w:rsid w:val="00BF1A11"/>
    <w:rsid w:val="00BF31A2"/>
    <w:rsid w:val="00BF6887"/>
    <w:rsid w:val="00C00534"/>
    <w:rsid w:val="00C0101E"/>
    <w:rsid w:val="00C0278A"/>
    <w:rsid w:val="00C03586"/>
    <w:rsid w:val="00C04464"/>
    <w:rsid w:val="00C101A5"/>
    <w:rsid w:val="00C1530C"/>
    <w:rsid w:val="00C26F63"/>
    <w:rsid w:val="00C339D0"/>
    <w:rsid w:val="00C33EBC"/>
    <w:rsid w:val="00C359C1"/>
    <w:rsid w:val="00C36363"/>
    <w:rsid w:val="00C36EB0"/>
    <w:rsid w:val="00C4390A"/>
    <w:rsid w:val="00C46F49"/>
    <w:rsid w:val="00C4788B"/>
    <w:rsid w:val="00C47F0E"/>
    <w:rsid w:val="00C52432"/>
    <w:rsid w:val="00C530BC"/>
    <w:rsid w:val="00C54FF6"/>
    <w:rsid w:val="00C5738B"/>
    <w:rsid w:val="00C6175F"/>
    <w:rsid w:val="00C6189A"/>
    <w:rsid w:val="00C76AC9"/>
    <w:rsid w:val="00C80099"/>
    <w:rsid w:val="00C8284A"/>
    <w:rsid w:val="00C84238"/>
    <w:rsid w:val="00C85201"/>
    <w:rsid w:val="00C87394"/>
    <w:rsid w:val="00C956E8"/>
    <w:rsid w:val="00C96A16"/>
    <w:rsid w:val="00CA0519"/>
    <w:rsid w:val="00CA0DAB"/>
    <w:rsid w:val="00CA5E16"/>
    <w:rsid w:val="00CA632A"/>
    <w:rsid w:val="00CB0AD1"/>
    <w:rsid w:val="00CB28A4"/>
    <w:rsid w:val="00CB770B"/>
    <w:rsid w:val="00CC3738"/>
    <w:rsid w:val="00CC43B8"/>
    <w:rsid w:val="00CC5AE2"/>
    <w:rsid w:val="00CE0C13"/>
    <w:rsid w:val="00CE4FAE"/>
    <w:rsid w:val="00CF70F3"/>
    <w:rsid w:val="00D04CF0"/>
    <w:rsid w:val="00D075AC"/>
    <w:rsid w:val="00D078E9"/>
    <w:rsid w:val="00D1401D"/>
    <w:rsid w:val="00D170D2"/>
    <w:rsid w:val="00D1757B"/>
    <w:rsid w:val="00D251D8"/>
    <w:rsid w:val="00D27256"/>
    <w:rsid w:val="00D40487"/>
    <w:rsid w:val="00D43DEE"/>
    <w:rsid w:val="00D46408"/>
    <w:rsid w:val="00D5339B"/>
    <w:rsid w:val="00D53DD9"/>
    <w:rsid w:val="00D60F41"/>
    <w:rsid w:val="00D61843"/>
    <w:rsid w:val="00D62DAF"/>
    <w:rsid w:val="00D6754B"/>
    <w:rsid w:val="00D7721D"/>
    <w:rsid w:val="00D83880"/>
    <w:rsid w:val="00D84005"/>
    <w:rsid w:val="00D84594"/>
    <w:rsid w:val="00D90837"/>
    <w:rsid w:val="00D93D87"/>
    <w:rsid w:val="00DA10CB"/>
    <w:rsid w:val="00DB5900"/>
    <w:rsid w:val="00DB7C3C"/>
    <w:rsid w:val="00DC5B60"/>
    <w:rsid w:val="00DD6909"/>
    <w:rsid w:val="00DE2AB7"/>
    <w:rsid w:val="00DF76BC"/>
    <w:rsid w:val="00E0276C"/>
    <w:rsid w:val="00E05FB7"/>
    <w:rsid w:val="00E1520F"/>
    <w:rsid w:val="00E17CAB"/>
    <w:rsid w:val="00E2266D"/>
    <w:rsid w:val="00E250FF"/>
    <w:rsid w:val="00E301D8"/>
    <w:rsid w:val="00E30532"/>
    <w:rsid w:val="00E335B2"/>
    <w:rsid w:val="00E36BA2"/>
    <w:rsid w:val="00E40280"/>
    <w:rsid w:val="00E4703F"/>
    <w:rsid w:val="00E548F8"/>
    <w:rsid w:val="00E56542"/>
    <w:rsid w:val="00E6028D"/>
    <w:rsid w:val="00E615FA"/>
    <w:rsid w:val="00E76927"/>
    <w:rsid w:val="00E817E9"/>
    <w:rsid w:val="00E81888"/>
    <w:rsid w:val="00E957C9"/>
    <w:rsid w:val="00EA0180"/>
    <w:rsid w:val="00EA0C02"/>
    <w:rsid w:val="00EA2965"/>
    <w:rsid w:val="00EA6CBA"/>
    <w:rsid w:val="00EB0CE3"/>
    <w:rsid w:val="00EC3187"/>
    <w:rsid w:val="00ED307F"/>
    <w:rsid w:val="00ED414E"/>
    <w:rsid w:val="00EE18F2"/>
    <w:rsid w:val="00EE32E9"/>
    <w:rsid w:val="00EE482B"/>
    <w:rsid w:val="00EE7E9C"/>
    <w:rsid w:val="00EF4421"/>
    <w:rsid w:val="00EF44B3"/>
    <w:rsid w:val="00EF459A"/>
    <w:rsid w:val="00EF56E9"/>
    <w:rsid w:val="00F00150"/>
    <w:rsid w:val="00F00E14"/>
    <w:rsid w:val="00F0139E"/>
    <w:rsid w:val="00F051CA"/>
    <w:rsid w:val="00F0626F"/>
    <w:rsid w:val="00F06647"/>
    <w:rsid w:val="00F143AE"/>
    <w:rsid w:val="00F24679"/>
    <w:rsid w:val="00F300E9"/>
    <w:rsid w:val="00F318F0"/>
    <w:rsid w:val="00F33052"/>
    <w:rsid w:val="00F33190"/>
    <w:rsid w:val="00F34855"/>
    <w:rsid w:val="00F35CFB"/>
    <w:rsid w:val="00F3693D"/>
    <w:rsid w:val="00F4131B"/>
    <w:rsid w:val="00F4338B"/>
    <w:rsid w:val="00F57D7D"/>
    <w:rsid w:val="00F6132D"/>
    <w:rsid w:val="00F662EC"/>
    <w:rsid w:val="00F85E23"/>
    <w:rsid w:val="00F8649C"/>
    <w:rsid w:val="00F86876"/>
    <w:rsid w:val="00F91ABE"/>
    <w:rsid w:val="00FA0AEA"/>
    <w:rsid w:val="00FA4ECF"/>
    <w:rsid w:val="00FA4F06"/>
    <w:rsid w:val="00FB28D6"/>
    <w:rsid w:val="00FC6C4B"/>
    <w:rsid w:val="00FD7647"/>
    <w:rsid w:val="00FE1B18"/>
    <w:rsid w:val="00FE4839"/>
    <w:rsid w:val="00FF0413"/>
    <w:rsid w:val="00FF2971"/>
    <w:rsid w:val="01855036"/>
    <w:rsid w:val="01D54FA3"/>
    <w:rsid w:val="0200596F"/>
    <w:rsid w:val="034A70C0"/>
    <w:rsid w:val="04B74004"/>
    <w:rsid w:val="06371A6A"/>
    <w:rsid w:val="06DE1E89"/>
    <w:rsid w:val="08A71940"/>
    <w:rsid w:val="095E176F"/>
    <w:rsid w:val="09B904D9"/>
    <w:rsid w:val="0A4D6024"/>
    <w:rsid w:val="0A983F90"/>
    <w:rsid w:val="0AA1364B"/>
    <w:rsid w:val="0C22002E"/>
    <w:rsid w:val="0CBA222F"/>
    <w:rsid w:val="0D18335F"/>
    <w:rsid w:val="0D6B26D3"/>
    <w:rsid w:val="0F4D5D3B"/>
    <w:rsid w:val="10F00897"/>
    <w:rsid w:val="11137729"/>
    <w:rsid w:val="11207EA1"/>
    <w:rsid w:val="114B605A"/>
    <w:rsid w:val="117D1C8D"/>
    <w:rsid w:val="121256CD"/>
    <w:rsid w:val="12D81C01"/>
    <w:rsid w:val="134860C7"/>
    <w:rsid w:val="139D7163"/>
    <w:rsid w:val="149D2DE5"/>
    <w:rsid w:val="14B91D39"/>
    <w:rsid w:val="158D313A"/>
    <w:rsid w:val="16515577"/>
    <w:rsid w:val="170A1336"/>
    <w:rsid w:val="1761306C"/>
    <w:rsid w:val="180B2260"/>
    <w:rsid w:val="19B525C9"/>
    <w:rsid w:val="19E439B8"/>
    <w:rsid w:val="19E708BF"/>
    <w:rsid w:val="1A3E1BF7"/>
    <w:rsid w:val="1A8811B0"/>
    <w:rsid w:val="1A8C3DF2"/>
    <w:rsid w:val="1AED5068"/>
    <w:rsid w:val="1B030334"/>
    <w:rsid w:val="1B504BBD"/>
    <w:rsid w:val="1CE153C2"/>
    <w:rsid w:val="1CF63B26"/>
    <w:rsid w:val="1D40715D"/>
    <w:rsid w:val="1F367ECA"/>
    <w:rsid w:val="1FCA1543"/>
    <w:rsid w:val="220A7A0B"/>
    <w:rsid w:val="2283485F"/>
    <w:rsid w:val="23913EF6"/>
    <w:rsid w:val="23D024A9"/>
    <w:rsid w:val="2483194D"/>
    <w:rsid w:val="24A24B56"/>
    <w:rsid w:val="253E0365"/>
    <w:rsid w:val="258865CA"/>
    <w:rsid w:val="2664524E"/>
    <w:rsid w:val="274D6682"/>
    <w:rsid w:val="27975661"/>
    <w:rsid w:val="27AC4418"/>
    <w:rsid w:val="28B82A64"/>
    <w:rsid w:val="29DA1329"/>
    <w:rsid w:val="2A5B4D2C"/>
    <w:rsid w:val="2B774885"/>
    <w:rsid w:val="2C022BD2"/>
    <w:rsid w:val="2C9524AA"/>
    <w:rsid w:val="2D090FE9"/>
    <w:rsid w:val="2D7515EE"/>
    <w:rsid w:val="2DCB413A"/>
    <w:rsid w:val="31347946"/>
    <w:rsid w:val="314F6930"/>
    <w:rsid w:val="32B81050"/>
    <w:rsid w:val="32D45CC7"/>
    <w:rsid w:val="33C70A32"/>
    <w:rsid w:val="33F13789"/>
    <w:rsid w:val="33FC5D66"/>
    <w:rsid w:val="3432754E"/>
    <w:rsid w:val="35FE2362"/>
    <w:rsid w:val="36282D75"/>
    <w:rsid w:val="383E3131"/>
    <w:rsid w:val="38B42CFB"/>
    <w:rsid w:val="38D83714"/>
    <w:rsid w:val="3BCBB4E6"/>
    <w:rsid w:val="3C3C025A"/>
    <w:rsid w:val="3E04510C"/>
    <w:rsid w:val="3E29562C"/>
    <w:rsid w:val="402355A3"/>
    <w:rsid w:val="40756573"/>
    <w:rsid w:val="40C57B8C"/>
    <w:rsid w:val="40DE248A"/>
    <w:rsid w:val="41C113BB"/>
    <w:rsid w:val="427E6634"/>
    <w:rsid w:val="437F6AF1"/>
    <w:rsid w:val="44531715"/>
    <w:rsid w:val="44595234"/>
    <w:rsid w:val="45171F5F"/>
    <w:rsid w:val="46984839"/>
    <w:rsid w:val="47B44476"/>
    <w:rsid w:val="49DA343C"/>
    <w:rsid w:val="4A8B3E33"/>
    <w:rsid w:val="4AE271FB"/>
    <w:rsid w:val="4C3F3E3A"/>
    <w:rsid w:val="4CA27105"/>
    <w:rsid w:val="4CF44732"/>
    <w:rsid w:val="4DE2243D"/>
    <w:rsid w:val="4E963C5F"/>
    <w:rsid w:val="4F765392"/>
    <w:rsid w:val="4F7C1750"/>
    <w:rsid w:val="50013B89"/>
    <w:rsid w:val="508C4B9F"/>
    <w:rsid w:val="50CF1F05"/>
    <w:rsid w:val="510553D4"/>
    <w:rsid w:val="51D620DD"/>
    <w:rsid w:val="52C94A44"/>
    <w:rsid w:val="54176613"/>
    <w:rsid w:val="54486CBB"/>
    <w:rsid w:val="547A6A60"/>
    <w:rsid w:val="556F4099"/>
    <w:rsid w:val="5A5E709D"/>
    <w:rsid w:val="5C0B1103"/>
    <w:rsid w:val="5CD86258"/>
    <w:rsid w:val="5F5C49C2"/>
    <w:rsid w:val="5FFA791A"/>
    <w:rsid w:val="613F7AA0"/>
    <w:rsid w:val="619A4C7D"/>
    <w:rsid w:val="62841F73"/>
    <w:rsid w:val="62DF37D3"/>
    <w:rsid w:val="6324681C"/>
    <w:rsid w:val="637F33D0"/>
    <w:rsid w:val="640575C7"/>
    <w:rsid w:val="653B1C65"/>
    <w:rsid w:val="65434D71"/>
    <w:rsid w:val="660712E0"/>
    <w:rsid w:val="68436D9E"/>
    <w:rsid w:val="6AA26E0A"/>
    <w:rsid w:val="6AF90BD8"/>
    <w:rsid w:val="6B944AD7"/>
    <w:rsid w:val="6B9923BB"/>
    <w:rsid w:val="6C34523F"/>
    <w:rsid w:val="6CE3099E"/>
    <w:rsid w:val="6E7365C0"/>
    <w:rsid w:val="6E8B0663"/>
    <w:rsid w:val="6EDE537A"/>
    <w:rsid w:val="6F2358CA"/>
    <w:rsid w:val="73645591"/>
    <w:rsid w:val="76E844CC"/>
    <w:rsid w:val="77874AC8"/>
    <w:rsid w:val="79C8191C"/>
    <w:rsid w:val="79EB7C5C"/>
    <w:rsid w:val="7A7D6A8A"/>
    <w:rsid w:val="7C4B65C6"/>
    <w:rsid w:val="7C852570"/>
    <w:rsid w:val="7DF86AA4"/>
    <w:rsid w:val="7E1C2466"/>
    <w:rsid w:val="7FCC1129"/>
    <w:rsid w:val="8DBB4E38"/>
    <w:rsid w:val="BC94703F"/>
    <w:rsid w:val="DD7FA5DA"/>
    <w:rsid w:val="FF7A8F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autoRedefine/>
    <w:qFormat/>
    <w:uiPriority w:val="9"/>
    <w:pPr>
      <w:outlineLvl w:val="1"/>
    </w:pPr>
    <w:rPr>
      <w:rFonts w:ascii="Cambria" w:hAnsi="Cambria" w:eastAsia="黑体"/>
      <w:bCs/>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autoRedefine/>
    <w:semiHidden/>
    <w:qFormat/>
    <w:uiPriority w:val="0"/>
    <w:pPr>
      <w:shd w:val="clear" w:color="auto" w:fill="000080"/>
    </w:pPr>
  </w:style>
  <w:style w:type="paragraph" w:styleId="5">
    <w:name w:val="Body Text"/>
    <w:basedOn w:val="1"/>
    <w:autoRedefine/>
    <w:qFormat/>
    <w:uiPriority w:val="0"/>
    <w:pPr>
      <w:jc w:val="center"/>
    </w:pPr>
    <w:rPr>
      <w:rFonts w:eastAsia="黑体"/>
      <w:sz w:val="36"/>
    </w:rPr>
  </w:style>
  <w:style w:type="paragraph" w:styleId="6">
    <w:name w:val="Balloon Text"/>
    <w:basedOn w:val="1"/>
    <w:autoRedefine/>
    <w:semiHidden/>
    <w:qFormat/>
    <w:uiPriority w:val="0"/>
    <w:rPr>
      <w:sz w:val="18"/>
      <w:szCs w:val="18"/>
    </w:rPr>
  </w:style>
  <w:style w:type="paragraph" w:styleId="7">
    <w:name w:val="footer"/>
    <w:basedOn w:val="1"/>
    <w:link w:val="15"/>
    <w:autoRedefine/>
    <w:qFormat/>
    <w:uiPriority w:val="99"/>
    <w:pPr>
      <w:tabs>
        <w:tab w:val="center" w:pos="4153"/>
        <w:tab w:val="right" w:pos="8306"/>
      </w:tabs>
      <w:snapToGrid w:val="0"/>
      <w:jc w:val="left"/>
    </w:pPr>
    <w:rPr>
      <w:sz w:val="18"/>
      <w:szCs w:val="18"/>
    </w:rPr>
  </w:style>
  <w:style w:type="paragraph" w:styleId="8">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0"/>
    <w:rPr>
      <w:b/>
    </w:rPr>
  </w:style>
  <w:style w:type="character" w:styleId="14">
    <w:name w:val="page number"/>
    <w:basedOn w:val="12"/>
    <w:autoRedefine/>
    <w:qFormat/>
    <w:uiPriority w:val="0"/>
  </w:style>
  <w:style w:type="character" w:customStyle="1" w:styleId="15">
    <w:name w:val="页脚 Char"/>
    <w:link w:val="7"/>
    <w:autoRedefine/>
    <w:qFormat/>
    <w:uiPriority w:val="99"/>
    <w:rPr>
      <w:kern w:val="2"/>
      <w:sz w:val="18"/>
      <w:szCs w:val="18"/>
    </w:rPr>
  </w:style>
  <w:style w:type="character" w:customStyle="1" w:styleId="16">
    <w:name w:val="页眉 Char"/>
    <w:link w:val="8"/>
    <w:autoRedefine/>
    <w:qFormat/>
    <w:uiPriority w:val="0"/>
    <w:rPr>
      <w:kern w:val="2"/>
      <w:sz w:val="18"/>
      <w:szCs w:val="18"/>
    </w:rPr>
  </w:style>
  <w:style w:type="paragraph" w:customStyle="1" w:styleId="17">
    <w:name w:val="正文样式"/>
    <w:basedOn w:val="9"/>
    <w:autoRedefine/>
    <w:qFormat/>
    <w:uiPriority w:val="0"/>
    <w:pPr>
      <w:spacing w:before="0" w:beforeAutospacing="0" w:after="0" w:afterAutospacing="0" w:line="560" w:lineRule="exact"/>
      <w:ind w:firstLine="640" w:firstLineChars="200"/>
      <w:jc w:val="both"/>
    </w:pPr>
    <w:rPr>
      <w:rFonts w:ascii="Times New Roman" w:hAnsi="Times New Roman" w:eastAsia="仿宋_GB2312" w:cs="Times New Roman"/>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47</Pages>
  <Words>19302</Words>
  <Characters>22059</Characters>
  <Lines>176</Lines>
  <Paragraphs>49</Paragraphs>
  <TotalTime>16</TotalTime>
  <ScaleCrop>false</ScaleCrop>
  <LinksUpToDate>false</LinksUpToDate>
  <CharactersWithSpaces>22422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2024-03-11T02:25:00Z</dcterms:created>
  <dc:creator>微软用户</dc:creator>
  <cp:lastModifiedBy>Administrator</cp:lastModifiedBy>
  <cp:lastPrinted>2021-02-08T18:21:00Z</cp:lastPrinted>
  <dcterms:modified xsi:type="dcterms:W3CDTF">2024-12-18T07:08:40Z</dcterms:modified>
  <dc:title>安徽省财政厅2015年部门预算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20B912B8A8904432901B633A6657EAEC_13</vt:lpwstr>
  </property>
</Properties>
</file>