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FE014">
      <w:pPr>
        <w:jc w:val="both"/>
        <w:rPr>
          <w:rFonts w:hint="default" w:ascii="黑体" w:hAnsi="黑体" w:eastAsia="黑体" w:cs="黑体"/>
          <w:b w:val="0"/>
          <w:bCs/>
          <w:sz w:val="32"/>
          <w:szCs w:val="32"/>
          <w:lang w:val="en-US" w:eastAsia="zh-CN"/>
        </w:rPr>
      </w:pPr>
      <w:bookmarkStart w:id="0" w:name="_GoBack"/>
      <w:bookmarkEnd w:id="0"/>
    </w:p>
    <w:p w14:paraId="305DBF73">
      <w:pPr>
        <w:pStyle w:val="2"/>
        <w:rPr>
          <w:rFonts w:hint="default"/>
          <w:lang w:val="en-US" w:eastAsia="zh-CN"/>
        </w:rPr>
      </w:pPr>
    </w:p>
    <w:p w14:paraId="48BA3D51">
      <w:pPr>
        <w:jc w:val="center"/>
        <w:rPr>
          <w:rFonts w:hint="eastAsia" w:ascii="宋体" w:hAnsi="宋体"/>
          <w:b/>
          <w:sz w:val="36"/>
          <w:szCs w:val="36"/>
        </w:rPr>
      </w:pPr>
      <w:r>
        <w:rPr>
          <w:rFonts w:hint="eastAsia" w:ascii="宋体" w:hAnsi="宋体"/>
          <w:b/>
          <w:sz w:val="36"/>
          <w:szCs w:val="36"/>
          <w:lang w:val="en-US" w:eastAsia="zh-CN"/>
        </w:rPr>
        <w:t>黄山市工业和信息化局</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4178E00">
      <w:pPr>
        <w:jc w:val="center"/>
        <w:rPr>
          <w:rFonts w:hint="eastAsia" w:ascii="楷体_GB2312" w:eastAsia="楷体_GB2312"/>
          <w:szCs w:val="32"/>
        </w:rPr>
      </w:pPr>
    </w:p>
    <w:p w14:paraId="4DD5EB3F">
      <w:pPr>
        <w:adjustRightInd w:val="0"/>
        <w:snapToGrid w:val="0"/>
        <w:spacing w:line="360" w:lineRule="auto"/>
        <w:jc w:val="center"/>
        <w:rPr>
          <w:rFonts w:hint="eastAsia" w:ascii="宋体" w:hAnsi="宋体"/>
          <w:sz w:val="6"/>
          <w:szCs w:val="32"/>
        </w:rPr>
      </w:pPr>
    </w:p>
    <w:p w14:paraId="25BA8F8B">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4"/>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34512B37">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auto"/>
            <w:noWrap/>
            <w:tcMar>
              <w:top w:w="12" w:type="dxa"/>
              <w:left w:w="12" w:type="dxa"/>
              <w:right w:w="12" w:type="dxa"/>
            </w:tcMar>
            <w:vAlign w:val="center"/>
          </w:tcPr>
          <w:p w14:paraId="4FCE55DA">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auto"/>
            <w:noWrap w:val="0"/>
            <w:tcMar>
              <w:top w:w="12" w:type="dxa"/>
              <w:left w:w="12" w:type="dxa"/>
              <w:right w:w="12" w:type="dxa"/>
            </w:tcMar>
            <w:vAlign w:val="center"/>
          </w:tcPr>
          <w:p w14:paraId="5F7858C9">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auto"/>
            <w:noWrap w:val="0"/>
            <w:tcMar>
              <w:top w:w="12" w:type="dxa"/>
              <w:left w:w="12" w:type="dxa"/>
              <w:right w:w="12" w:type="dxa"/>
            </w:tcMar>
            <w:vAlign w:val="center"/>
          </w:tcPr>
          <w:p w14:paraId="67D2CC3F">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auto"/>
            <w:noWrap w:val="0"/>
            <w:tcMar>
              <w:top w:w="12" w:type="dxa"/>
              <w:left w:w="12" w:type="dxa"/>
              <w:right w:w="12" w:type="dxa"/>
            </w:tcMar>
            <w:vAlign w:val="center"/>
          </w:tcPr>
          <w:p w14:paraId="2B657E5B">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auto"/>
            <w:noWrap w:val="0"/>
            <w:tcMar>
              <w:top w:w="12" w:type="dxa"/>
              <w:left w:w="12" w:type="dxa"/>
              <w:right w:w="12" w:type="dxa"/>
            </w:tcMar>
            <w:vAlign w:val="center"/>
          </w:tcPr>
          <w:p w14:paraId="297237AB">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auto"/>
            <w:noWrap w:val="0"/>
            <w:tcMar>
              <w:top w:w="12" w:type="dxa"/>
              <w:left w:w="12" w:type="dxa"/>
              <w:right w:w="12" w:type="dxa"/>
            </w:tcMar>
            <w:vAlign w:val="center"/>
          </w:tcPr>
          <w:p w14:paraId="60B67A05">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auto"/>
            <w:noWrap w:val="0"/>
            <w:tcMar>
              <w:top w:w="12" w:type="dxa"/>
              <w:left w:w="12" w:type="dxa"/>
              <w:right w:w="12" w:type="dxa"/>
            </w:tcMar>
            <w:vAlign w:val="center"/>
          </w:tcPr>
          <w:p w14:paraId="70095F21">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auto"/>
            <w:noWrap w:val="0"/>
            <w:tcMar>
              <w:top w:w="12" w:type="dxa"/>
              <w:left w:w="12" w:type="dxa"/>
              <w:right w:w="12" w:type="dxa"/>
            </w:tcMar>
            <w:vAlign w:val="center"/>
          </w:tcPr>
          <w:p w14:paraId="6E11327D">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auto"/>
            <w:noWrap w:val="0"/>
            <w:tcMar>
              <w:top w:w="12" w:type="dxa"/>
              <w:left w:w="12" w:type="dxa"/>
              <w:right w:w="12" w:type="dxa"/>
            </w:tcMar>
            <w:vAlign w:val="center"/>
          </w:tcPr>
          <w:p w14:paraId="15D140E9">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auto"/>
            <w:noWrap w:val="0"/>
            <w:tcMar>
              <w:top w:w="12" w:type="dxa"/>
              <w:left w:w="12" w:type="dxa"/>
              <w:right w:w="12" w:type="dxa"/>
            </w:tcMar>
            <w:vAlign w:val="center"/>
          </w:tcPr>
          <w:p w14:paraId="75B00AF6">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auto"/>
            <w:noWrap w:val="0"/>
            <w:tcMar>
              <w:top w:w="12" w:type="dxa"/>
              <w:left w:w="12" w:type="dxa"/>
              <w:right w:w="12" w:type="dxa"/>
            </w:tcMar>
            <w:vAlign w:val="center"/>
          </w:tcPr>
          <w:p w14:paraId="676EAE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2A9E6BB3">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DAEB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900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0970E92">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2A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74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D54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B6B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4143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1C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A3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EAF2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3549898C">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3D9C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8A14C1">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C3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EA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DB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16765B">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761F1">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18E40F">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C8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B0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CEC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3EFF2">
            <w:pPr>
              <w:jc w:val="center"/>
              <w:rPr>
                <w:rFonts w:hint="eastAsia" w:ascii="宋体" w:hAnsi="宋体" w:eastAsia="宋体" w:cs="宋体"/>
                <w:i w:val="0"/>
                <w:color w:val="000000"/>
                <w:sz w:val="18"/>
                <w:szCs w:val="18"/>
                <w:u w:val="none"/>
              </w:rPr>
            </w:pPr>
          </w:p>
        </w:tc>
      </w:tr>
      <w:tr w14:paraId="29B54F86">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67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997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0868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DB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92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11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F5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664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DF26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FD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040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75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280904B3">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BF014D">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1"/>
                <w:szCs w:val="21"/>
                <w:u w:val="none"/>
                <w:lang w:val="en-US" w:eastAsia="zh-CN" w:bidi="ar"/>
              </w:rPr>
              <w:t>3.25</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E01A4">
            <w:pPr>
              <w:jc w:val="right"/>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784216">
            <w:pPr>
              <w:jc w:val="right"/>
              <w:rPr>
                <w:rFonts w:hint="eastAsia" w:ascii="宋体" w:hAnsi="宋体" w:eastAsia="宋体" w:cs="宋体"/>
                <w:i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A800B">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F429C">
            <w:pPr>
              <w:jc w:val="right"/>
              <w:rPr>
                <w:rFonts w:hint="eastAsia" w:ascii="宋体" w:hAnsi="宋体" w:eastAsia="宋体" w:cs="宋体"/>
                <w:i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7CC5C">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iCs w:val="0"/>
                <w:color w:val="000000"/>
                <w:kern w:val="0"/>
                <w:sz w:val="21"/>
                <w:szCs w:val="21"/>
                <w:u w:val="none"/>
                <w:lang w:val="en-US" w:eastAsia="zh-CN" w:bidi="ar"/>
              </w:rPr>
              <w:t>3.25</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74C4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0.83</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526C0">
            <w:pPr>
              <w:jc w:val="right"/>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27DB1">
            <w:pPr>
              <w:jc w:val="right"/>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7AE78">
            <w:pPr>
              <w:jc w:val="right"/>
              <w:rPr>
                <w:rFonts w:hint="eastAsia" w:ascii="宋体" w:hAnsi="宋体" w:eastAsia="宋体" w:cs="宋体"/>
                <w:i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2A936">
            <w:pPr>
              <w:jc w:val="right"/>
              <w:rPr>
                <w:rFonts w:hint="eastAsia" w:ascii="宋体" w:hAnsi="宋体" w:eastAsia="宋体" w:cs="宋体"/>
                <w:i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E65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0.83</w:t>
            </w:r>
          </w:p>
        </w:tc>
      </w:tr>
    </w:tbl>
    <w:p w14:paraId="386B9C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7221E1BA">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9C00D47">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4BA86F6E">
      <w:pPr>
        <w:ind w:firstLine="628" w:firstLineChars="200"/>
        <w:rPr>
          <w:rFonts w:hint="eastAsia" w:ascii="仿宋_GB2312" w:hAnsi="仿宋"/>
          <w:szCs w:val="32"/>
        </w:rPr>
      </w:pPr>
      <w:r>
        <w:rPr>
          <w:rFonts w:hint="eastAsia" w:ascii="仿宋_GB2312" w:hAnsi="仿宋"/>
          <w:szCs w:val="32"/>
          <w:lang w:val="en-US" w:eastAsia="zh-CN"/>
        </w:rPr>
        <w:t>黄山市工业和信息化局</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3.25</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0.83</w:t>
      </w:r>
      <w:r>
        <w:rPr>
          <w:rFonts w:hint="eastAsia" w:ascii="仿宋_GB2312" w:hAnsi="仿宋"/>
          <w:szCs w:val="32"/>
        </w:rPr>
        <w:t>万元，完成预算的</w:t>
      </w:r>
      <w:r>
        <w:rPr>
          <w:rFonts w:hint="eastAsia" w:ascii="仿宋_GB2312" w:hAnsi="仿宋"/>
          <w:szCs w:val="32"/>
          <w:lang w:val="en-US" w:eastAsia="zh-CN"/>
        </w:rPr>
        <w:t>25.5</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1.89</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69.5%。</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w:t>
      </w:r>
      <w:r>
        <w:rPr>
          <w:rFonts w:hint="eastAsia" w:ascii="仿宋_GB2312" w:hAnsi="仿宋"/>
          <w:szCs w:val="32"/>
          <w:lang w:eastAsia="zh-CN"/>
        </w:rPr>
        <w:t>和</w:t>
      </w:r>
      <w:r>
        <w:rPr>
          <w:rFonts w:hint="eastAsia" w:ascii="仿宋_GB2312" w:hAnsi="仿宋"/>
          <w:szCs w:val="32"/>
        </w:rPr>
        <w:t>上年数的主要原因是严格贯彻落实和《黄山市市直机关公务接待费管理暂行办法》的规定，</w:t>
      </w:r>
      <w:r>
        <w:rPr>
          <w:rFonts w:hint="eastAsia" w:ascii="仿宋_GB2312" w:hAnsi="仿宋"/>
          <w:szCs w:val="32"/>
          <w:lang w:eastAsia="zh-CN"/>
        </w:rPr>
        <w:t>规范公务接待活动</w:t>
      </w:r>
      <w:r>
        <w:rPr>
          <w:rFonts w:hint="eastAsia" w:ascii="仿宋_GB2312" w:hAnsi="仿宋"/>
          <w:szCs w:val="32"/>
        </w:rPr>
        <w:t>。</w:t>
      </w:r>
    </w:p>
    <w:p w14:paraId="7A842CCD">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7E4A38A">
      <w:pPr>
        <w:ind w:firstLine="628" w:firstLineChars="200"/>
        <w:rPr>
          <w:rFonts w:hint="eastAsia" w:ascii="仿宋_GB2312" w:hAnsi="仿宋"/>
          <w:szCs w:val="32"/>
        </w:rPr>
      </w:pPr>
      <w:r>
        <w:rPr>
          <w:rFonts w:hint="eastAsia" w:ascii="仿宋_GB2312" w:hAnsi="仿宋"/>
          <w:szCs w:val="32"/>
          <w:lang w:val="en-US" w:eastAsia="zh-CN"/>
        </w:rPr>
        <w:t>黄山市工业和信息化局</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0.83</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2664A18D">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0万元，支出决算为0万元，完成预算的100%，决算数与预算数相同；较上年减少0万元，下降0%。原因是2023年度、2024年度均未安排因公出国（境）计划。</w:t>
      </w:r>
      <w:r>
        <w:rPr>
          <w:rFonts w:hint="eastAsia" w:ascii="仿宋_GB2312" w:hAnsi="仿宋"/>
          <w:szCs w:val="32"/>
        </w:rPr>
        <w:t>故2024年</w:t>
      </w:r>
      <w:r>
        <w:rPr>
          <w:rFonts w:hint="eastAsia" w:ascii="仿宋_GB2312" w:hAnsi="仿宋"/>
          <w:szCs w:val="32"/>
          <w:lang w:val="en-US" w:eastAsia="zh-CN"/>
        </w:rPr>
        <w:t>黄山市工业和信息化局</w:t>
      </w:r>
      <w:r>
        <w:rPr>
          <w:rFonts w:hint="eastAsia" w:ascii="仿宋_GB2312" w:hAnsi="仿宋"/>
          <w:szCs w:val="32"/>
        </w:rPr>
        <w:t>因公出国（境）团组0次，出国（境）0人次。</w:t>
      </w:r>
    </w:p>
    <w:p w14:paraId="4CF4572F">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3.25</w:t>
      </w:r>
      <w:r>
        <w:rPr>
          <w:rFonts w:hint="eastAsia" w:ascii="仿宋_GB2312" w:hAnsi="仿宋"/>
          <w:szCs w:val="32"/>
          <w:lang w:eastAsia="zh-CN"/>
        </w:rPr>
        <w:t>万元，支出决算为</w:t>
      </w:r>
      <w:r>
        <w:rPr>
          <w:rFonts w:hint="eastAsia" w:ascii="仿宋_GB2312" w:hAnsi="仿宋"/>
          <w:szCs w:val="32"/>
          <w:lang w:val="en-US" w:eastAsia="zh-CN"/>
        </w:rPr>
        <w:t>0.83万元</w:t>
      </w:r>
      <w:r>
        <w:rPr>
          <w:rFonts w:hint="eastAsia" w:ascii="仿宋_GB2312" w:hAnsi="仿宋"/>
          <w:szCs w:val="32"/>
          <w:lang w:eastAsia="zh-CN"/>
        </w:rPr>
        <w:t>，完成预算的</w:t>
      </w:r>
      <w:r>
        <w:rPr>
          <w:rFonts w:hint="eastAsia" w:ascii="仿宋_GB2312" w:hAnsi="仿宋"/>
          <w:szCs w:val="32"/>
          <w:lang w:val="en-US" w:eastAsia="zh-CN"/>
        </w:rPr>
        <w:t>25.5</w:t>
      </w:r>
      <w:r>
        <w:rPr>
          <w:rFonts w:hint="eastAsia" w:ascii="仿宋_GB2312" w:hAnsi="仿宋"/>
          <w:szCs w:val="32"/>
          <w:lang w:eastAsia="zh-CN"/>
        </w:rPr>
        <w:t>%；较上年减少</w:t>
      </w:r>
      <w:r>
        <w:rPr>
          <w:rFonts w:hint="eastAsia" w:ascii="仿宋_GB2312" w:hAnsi="仿宋"/>
          <w:szCs w:val="32"/>
          <w:lang w:val="en-US" w:eastAsia="zh-CN"/>
        </w:rPr>
        <w:t>1.89</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69.5%。</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w:t>
      </w:r>
      <w:r>
        <w:rPr>
          <w:rFonts w:hint="eastAsia" w:ascii="仿宋_GB2312" w:hAnsi="仿宋"/>
          <w:szCs w:val="32"/>
          <w:lang w:eastAsia="zh-CN"/>
        </w:rPr>
        <w:t>和</w:t>
      </w:r>
      <w:r>
        <w:rPr>
          <w:rFonts w:hint="eastAsia" w:ascii="仿宋_GB2312" w:hAnsi="仿宋"/>
          <w:szCs w:val="32"/>
        </w:rPr>
        <w:t>上年数的主要原因是严格贯彻落实和《黄山市市直机关公务接待费管理暂行办法》的规定，</w:t>
      </w:r>
      <w:r>
        <w:rPr>
          <w:rFonts w:hint="eastAsia" w:ascii="仿宋_GB2312" w:hAnsi="仿宋"/>
          <w:szCs w:val="32"/>
          <w:lang w:eastAsia="zh-CN"/>
        </w:rPr>
        <w:t>规范公务接待活动</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黄山市工业和信息化局</w:t>
      </w:r>
      <w:r>
        <w:rPr>
          <w:rFonts w:hint="eastAsia" w:ascii="仿宋_GB2312" w:hAnsi="仿宋"/>
          <w:szCs w:val="32"/>
        </w:rPr>
        <w:t>国内公务接待共</w:t>
      </w:r>
      <w:r>
        <w:rPr>
          <w:rFonts w:hint="eastAsia" w:ascii="仿宋_GB2312" w:hAnsi="仿宋"/>
          <w:szCs w:val="32"/>
          <w:lang w:val="en-US" w:eastAsia="zh-CN"/>
        </w:rPr>
        <w:t>15</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120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人次）。主要是用于接待上级视察调研和检查指导、市委市政府工作部署、外市</w:t>
      </w:r>
      <w:r>
        <w:rPr>
          <w:rFonts w:hint="eastAsia" w:ascii="仿宋_GB2312" w:hAnsi="仿宋"/>
          <w:szCs w:val="32"/>
          <w:lang w:eastAsia="zh-CN"/>
        </w:rPr>
        <w:t>企业来黄</w:t>
      </w:r>
      <w:r>
        <w:rPr>
          <w:rFonts w:hint="eastAsia" w:ascii="仿宋_GB2312" w:hAnsi="仿宋"/>
          <w:szCs w:val="32"/>
        </w:rPr>
        <w:t>考察</w:t>
      </w:r>
      <w:r>
        <w:rPr>
          <w:rFonts w:hint="eastAsia" w:ascii="仿宋_GB2312" w:hAnsi="仿宋"/>
          <w:szCs w:val="32"/>
          <w:lang w:eastAsia="zh-CN"/>
        </w:rPr>
        <w:t>调研</w:t>
      </w:r>
      <w:r>
        <w:rPr>
          <w:rFonts w:hint="eastAsia" w:ascii="仿宋_GB2312" w:hAnsi="仿宋"/>
          <w:szCs w:val="32"/>
        </w:rPr>
        <w:t>以及基层业务往来等公务活动支出。</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7F27674E">
      <w:pPr>
        <w:ind w:firstLine="628" w:firstLineChars="200"/>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，完成预算的100%；</w:t>
      </w:r>
      <w:r>
        <w:rPr>
          <w:rFonts w:hint="eastAsia" w:ascii="仿宋_GB2312" w:hAnsi="仿宋"/>
          <w:szCs w:val="32"/>
        </w:rPr>
        <w:t>决算数与预算数相同；较上年减少0万元，下降0%。原因是202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年度均未安排公务用车购置及运行维护费。其中，公务用车购置费预算为0万元，支出决算为0万元，完成预算的100%；决算数与预算数相同；较上年减少0万元，下降0%。原因是202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年度没有安排公务用车购置费。公务用车运行维护费预算为0万元，支出决算为0万元，完成预算的100%；决算数与预算数相同；较上年减少0万元，下降0%。原因是202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年度没有安排公务用车运行维护费</w:t>
      </w:r>
      <w:r>
        <w:rPr>
          <w:rFonts w:hint="eastAsia" w:ascii="楷体_GB2312" w:hAnsi="仿宋" w:eastAsia="楷体_GB2312"/>
          <w:szCs w:val="32"/>
        </w:rPr>
        <w:t>。</w:t>
      </w:r>
      <w:r>
        <w:rPr>
          <w:rFonts w:hint="eastAsia" w:ascii="仿宋_GB2312" w:hAnsi="仿宋"/>
          <w:szCs w:val="32"/>
        </w:rPr>
        <w:t>截至202</w:t>
      </w:r>
      <w:r>
        <w:rPr>
          <w:rFonts w:hint="eastAsia" w:ascii="仿宋_GB2312" w:hAnsi="仿宋"/>
          <w:szCs w:val="32"/>
          <w:lang w:val="en-US" w:eastAsia="zh-CN"/>
        </w:rPr>
        <w:t>4</w:t>
      </w:r>
      <w:r>
        <w:rPr>
          <w:rFonts w:hint="eastAsia" w:ascii="仿宋_GB2312" w:hAnsi="仿宋"/>
          <w:szCs w:val="32"/>
        </w:rPr>
        <w:t>年12月31日，黄山市工业和信息化局机关开支财政拨款的公务用车保有量为0辆。</w:t>
      </w:r>
    </w:p>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61D9">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14:paraId="6BB76F72">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CCE2">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63E80B28">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NWU1OTBjYzU1M2Y2NDYxNWU5ODAxZGVjODUzOWEifQ=="/>
  </w:docVars>
  <w:rsids>
    <w:rsidRoot w:val="00000000"/>
    <w:rsid w:val="0E5057A7"/>
    <w:rsid w:val="1B5D64F4"/>
    <w:rsid w:val="47484E05"/>
    <w:rsid w:val="4EFF2718"/>
    <w:rsid w:val="524256E5"/>
    <w:rsid w:val="7D972911"/>
    <w:rsid w:val="7F13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1358</Words>
  <Characters>1506</Characters>
  <Lines>0</Lines>
  <Paragraphs>0</Paragraphs>
  <TotalTime>1</TotalTime>
  <ScaleCrop>false</ScaleCrop>
  <LinksUpToDate>false</LinksUpToDate>
  <CharactersWithSpaces>1550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2025-09-15T01:00:00Z</dcterms:created>
  <dc:creator>Administrator</dc:creator>
  <cp:lastModifiedBy>Hrx</cp:lastModifiedBy>
  <dcterms:modified xsi:type="dcterms:W3CDTF">2025-09-28T02:06:11Z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eyJoZGlkIjoiYzliODc3MjE5Y2U2Y2ZiMDcyMGM1ZTJiNDI5YTk2OWQiLCJ1c2VySWQiOiIyNzMwODg5NCJ9</vt:lpwstr>
  </property>
  <property fmtid="{D5CDD505-2E9C-101B-9397-08002B2CF9AE}" pid="4" name="ICV">
    <vt:lpwstr>43035D52E1784C4AB42E2E195A231018_13</vt:lpwstr>
  </property>
</Properties>
</file>